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Liderazgo y compromiso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alta dirección debe demostrar liderazgo y compromiso: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Asegurando política y objetivos compatibles con la dirección estratégica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Integrando los requisitos del sistema de SV con los procesos de la organización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Asegurando la disponibilidad de recursos técnicos y humanos requeridos para el diseño, implementación, verificación y mejora del SV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73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Adoptando la eliminación de la muerte y lesiones graves de los accidentes de tráfico como objetivo a largo plazo y decidiendo sobre los resultados que se van a logar provisionalmente.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Trabajar con la sociedad y partes interesadas para desarrollar una contribución al sistema de tráfico vial seguro.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Asegurando que se adopte un enfoque por procesos transparentes y participación apropiada a todos los niveles de la organización para lograr resultados en SV.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Priorizando acciones estratégicas de SV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Comunicando la importancia de una gestión eficaz y del cumplimiento de requisitos.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Asegurando la importancia del cumplimiento de requisitos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Dirigiendo y promoviendo la contribución del personal, Promover en la organización la formación y aplicación de hábitos, comportamientos y conductas seguras en la vía.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asegurando que la importancia del cumplimiento de las leyes pertinentes para lograr el resultado previsto del sistema de gestión de la SV se comunique a todo el personal pertinente dentro de la organización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Promoviendo la mejora continua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Apoyando roles de dirección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adquisición o contratación de vehículos, equipos, repuestos y servicios que cumplan especificaciones de seguridad vial.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seguimiento para que los contratistas, afiliados, asociados y la comunidad de la organización cumplan los requisitos de seguridad vial que se establezca la organización.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cumplimiento de las acciones y estrategias definidas en el plan de trabajo anual del SV.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participación en una (1) reunión del comité de seguridad vial por lo menos una (1) vez al año para revisar los resultados de la planificación, implementación, seguimiento y mejora del PESV.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atención oportuna de la solicitud de información por parte de las entidades verificadoras, la participación en la reunión de apertura y reunión de cierre y la gestión de los hallazgos resultantes de las visitas de verificación que realicen el Ministerio de Trabajo, la Superintendencia de Transporte o los Organismos de Tránsito según corresponda de acuerdo con la función de verificación de la implementación del Plan Estratégico de Seguridad Vial de conformidad con lo establecido en el artículo 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a69977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1o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 la Ley 2050 de 2020 y las disposiciones que lo reglamenten.</w:t>
      </w:r>
    </w:p>
    <w:tbl>
      <w:tblPr>
        <w:tblStyle w:val="Table1"/>
        <w:tblW w:w="8779.0" w:type="dxa"/>
        <w:jc w:val="left"/>
        <w:tblLayout w:type="fixed"/>
        <w:tblLook w:val="0400"/>
      </w:tblPr>
      <w:tblGrid>
        <w:gridCol w:w="2974"/>
        <w:gridCol w:w="2970"/>
        <w:gridCol w:w="2835"/>
        <w:tblGridChange w:id="0">
          <w:tblGrid>
            <w:gridCol w:w="2974"/>
            <w:gridCol w:w="2970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75682"/>
                <w:rtl w:val="0"/>
              </w:rPr>
              <w:t xml:space="preserve">PESV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75682"/>
                <w:rtl w:val="0"/>
              </w:rPr>
              <w:t xml:space="preserve">Decreto 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a69977"/>
                  <w:u w:val="single"/>
                  <w:rtl w:val="0"/>
                </w:rPr>
                <w:t xml:space="preserve">1072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375682"/>
                <w:rtl w:val="0"/>
              </w:rPr>
              <w:t xml:space="preserve"> de 2015 SGSST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75682"/>
                <w:rtl w:val="0"/>
              </w:rPr>
              <w:t xml:space="preserve">ISO 39001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Paso 4. Liderazgo, compromiso y corresponsabilidad del nivel directivo (Aplica para todos los niveles)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Articulo 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a69977"/>
                  <w:u w:val="single"/>
                  <w:rtl w:val="0"/>
                </w:rPr>
                <w:t xml:space="preserve">2.2.4.6.5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  <w:br w:type="textWrapping"/>
              <w:t xml:space="preserve">Obligaciones de los</w:t>
              <w:br w:type="textWrapping"/>
              <w:t xml:space="preserve">empleadores.</w:t>
              <w:br w:type="textWrapping"/>
              <w:t xml:space="preserve">Articulo 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a69977"/>
                  <w:u w:val="single"/>
                  <w:rtl w:val="0"/>
                </w:rPr>
                <w:t xml:space="preserve">2.2.4.6.31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  <w:br w:type="textWrapping"/>
              <w:t xml:space="preserve">Revisión por la alta</w:t>
              <w:br w:type="textWrapping"/>
              <w:t xml:space="preserve">dirección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14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5.1 Liderazgo y compromiso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987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256"/>
      <w:gridCol w:w="3024"/>
      <w:gridCol w:w="1496"/>
      <w:gridCol w:w="2094"/>
      <w:tblGridChange w:id="0">
        <w:tblGrid>
          <w:gridCol w:w="3256"/>
          <w:gridCol w:w="3024"/>
          <w:gridCol w:w="1496"/>
          <w:gridCol w:w="2094"/>
        </w:tblGrid>
      </w:tblGridChange>
    </w:tblGrid>
    <w:tr>
      <w:trPr>
        <w:cantSplit w:val="0"/>
        <w:trHeight w:val="41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D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/>
            <w:drawing>
              <wp:inline distB="0" distT="0" distL="0" distR="0">
                <wp:extent cx="1978660" cy="544195"/>
                <wp:effectExtent b="0" l="0" r="0" t="0"/>
                <wp:docPr id="3954784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660" cy="5441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E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PROCESO OPERACIONES </w:t>
          </w:r>
        </w:p>
      </w:tc>
    </w:tr>
    <w:tr>
      <w:trPr>
        <w:cantSplit w:val="0"/>
        <w:trHeight w:val="12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MANUAL  DE SEGURIDAD VIAL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24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Versión: 2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25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1755"/>
    <w:rPr>
      <w:rFonts w:ascii="Times New Roman" w:cs="Times New Roman" w:eastAsia="Times New Roman" w:hAnsi="Times New Roman"/>
      <w:kern w:val="0"/>
      <w:lang w:eastAsia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3175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31755"/>
  </w:style>
  <w:style w:type="paragraph" w:styleId="Piedepgina">
    <w:name w:val="footer"/>
    <w:basedOn w:val="Normal"/>
    <w:link w:val="PiedepginaCar"/>
    <w:uiPriority w:val="99"/>
    <w:unhideWhenUsed w:val="1"/>
    <w:rsid w:val="00F3175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31755"/>
  </w:style>
  <w:style w:type="table" w:styleId="1" w:customStyle="1">
    <w:name w:val="1"/>
    <w:basedOn w:val="Tablanormal"/>
    <w:rsid w:val="00F31755"/>
    <w:pPr>
      <w:widowControl w:val="0"/>
    </w:pPr>
    <w:rPr>
      <w:rFonts w:ascii="Cambria" w:cs="Cambria" w:eastAsia="Cambria" w:hAnsi="Cambria"/>
      <w:kern w:val="0"/>
      <w:sz w:val="22"/>
      <w:szCs w:val="22"/>
      <w:lang w:eastAsia="es-MX" w:val="es-ES"/>
    </w:rPr>
    <w:tblPr>
      <w:tblStyleRowBandSize w:val="1"/>
      <w:tblStyleColBandSize w:val="1"/>
      <w:tblInd w:w="0.0" w:type="nil"/>
      <w:tblCellMar>
        <w:left w:w="70.0" w:type="dxa"/>
        <w:right w:w="70.0" w:type="dxa"/>
      </w:tblCellMar>
    </w:tblPr>
  </w:style>
  <w:style w:type="paragraph" w:styleId="Prrafodelista">
    <w:name w:val="List Paragraph"/>
    <w:aliases w:val="titulo 3,Bullets,Dot pt,List Paragraph Char Char Char,Indicator Text,List Paragraph1,Numbered Para 1,Colorful List - Accent 11,Bullet 1,F5 List Paragraph,Bullet Points,Ha,HOJA,Bolita,Párrafo de lista4,List Paragraph 1,No Spacing1,List"/>
    <w:basedOn w:val="Normal"/>
    <w:link w:val="PrrafodelistaCar"/>
    <w:uiPriority w:val="34"/>
    <w:qFormat w:val="1"/>
    <w:rsid w:val="00F31755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F31755"/>
    <w:pPr>
      <w:spacing w:after="100" w:afterAutospacing="1" w:before="100" w:beforeAutospacing="1"/>
    </w:pPr>
  </w:style>
  <w:style w:type="table" w:styleId="Tablaconcuadrcula">
    <w:name w:val="Table Grid"/>
    <w:basedOn w:val="Tablanormal"/>
    <w:uiPriority w:val="39"/>
    <w:rsid w:val="00F31755"/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rrafodelistaCar" w:customStyle="1">
    <w:name w:val="Párrafo de lista Car"/>
    <w:aliases w:val="titulo 3 Car,Bullets Car,Dot pt Car,List Paragraph Char Char Char Car,Indicator Text Car,List Paragraph1 Car,Numbered Para 1 Car,Colorful List - Accent 11 Car,Bullet 1 Car,F5 List Paragraph Car,Bullet Points Car,Ha Car,HOJA Car"/>
    <w:link w:val="Prrafodelista"/>
    <w:uiPriority w:val="34"/>
    <w:qFormat w:val="1"/>
    <w:locked w:val="1"/>
    <w:rsid w:val="00F31755"/>
    <w:rPr>
      <w:rFonts w:ascii="Times New Roman" w:cs="Times New Roman" w:eastAsia="Times New Roman" w:hAnsi="Times New Roman"/>
      <w:kern w:val="0"/>
      <w:lang w:eastAsia="es-ES_tradnl"/>
    </w:rPr>
  </w:style>
  <w:style w:type="paragraph" w:styleId="Sinespaciado">
    <w:name w:val="No Spacing"/>
    <w:link w:val="SinespaciadoCar"/>
    <w:uiPriority w:val="1"/>
    <w:qFormat w:val="1"/>
    <w:rsid w:val="00F31755"/>
    <w:rPr>
      <w:kern w:val="0"/>
      <w:szCs w:val="22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F31755"/>
    <w:rPr>
      <w:kern w:val="0"/>
      <w:szCs w:val="22"/>
    </w:rPr>
  </w:style>
  <w:style w:type="character" w:styleId="baj" w:customStyle="1">
    <w:name w:val="b_aj"/>
    <w:basedOn w:val="Fuentedeprrafopredeter"/>
    <w:rsid w:val="00F31755"/>
  </w:style>
  <w:style w:type="character" w:styleId="Hipervnculo">
    <w:name w:val="Hyperlink"/>
    <w:basedOn w:val="Fuentedeprrafopredeter"/>
    <w:uiPriority w:val="99"/>
    <w:semiHidden w:val="1"/>
    <w:unhideWhenUsed w:val="1"/>
    <w:rsid w:val="00F3175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cancilleria.gov.co/sites/default/files/Normograma/docs/decreto_1072_2015.htm#2.2.4.6.31" TargetMode="External"/><Relationship Id="rId9" Type="http://schemas.openxmlformats.org/officeDocument/2006/relationships/hyperlink" Target="https://www.cancilleria.gov.co/sites/default/files/Normograma/docs/decreto_1072_2015.htm#2.2.4.6.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cilleria.gov.co/sites/default/files/Normograma/docs/ley_2050_2020.htm#1" TargetMode="External"/><Relationship Id="rId8" Type="http://schemas.openxmlformats.org/officeDocument/2006/relationships/hyperlink" Target="https://www.cancilleria.gov.co/sites/default/files/Normograma/docs/decreto_1072_2015.htm#INIC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sY4uztOxh6IbZCEsYyTAIHv7A==">CgMxLjA4AHIhMW9RTUw0MGJBWkthNEF4eldWQ0xySFRvRW9ZRmFUQWNT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2023-06-28T23:29:00Z</dcterms:created>
  <dc:creator>lucia moreno</dc:creator>
</cp:coreProperties>
</file>