
<file path=[Content_Types].xml><?xml version="1.0" encoding="utf-8"?>
<Types xmlns="http://schemas.openxmlformats.org/package/2006/content-types">
  <Default ContentType="image/gif" Extension="gif"/>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ind w:left="720" w:hanging="360"/>
        <w:rPr/>
      </w:pPr>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3">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Registro y análisis estadístico de accidentes de transito</w:t>
      </w:r>
    </w:p>
    <w:p w:rsidR="00000000" w:rsidDel="00000000" w:rsidP="00000000" w:rsidRDefault="00000000" w:rsidRPr="00000000" w14:paraId="00000004">
      <w:pPr>
        <w:ind w:right="1157"/>
        <w:rPr>
          <w:rFonts w:ascii="Arial" w:cs="Arial" w:eastAsia="Arial" w:hAnsi="Arial"/>
        </w:rPr>
      </w:pPr>
      <w:r w:rsidDel="00000000" w:rsidR="00000000" w:rsidRPr="00000000">
        <w:rPr>
          <w:rtl w:val="0"/>
        </w:rPr>
      </w:r>
    </w:p>
    <w:p w:rsidR="00000000" w:rsidDel="00000000" w:rsidP="00000000" w:rsidRDefault="00000000" w:rsidRPr="00000000" w14:paraId="00000005">
      <w:pPr>
        <w:ind w:right="1157"/>
        <w:rPr>
          <w:rFonts w:ascii="Arial" w:cs="Arial" w:eastAsia="Arial" w:hAnsi="Arial"/>
        </w:rPr>
      </w:pPr>
      <w:r w:rsidDel="00000000" w:rsidR="00000000" w:rsidRPr="00000000">
        <w:rPr>
          <w:rFonts w:ascii="Arial" w:cs="Arial" w:eastAsia="Arial" w:hAnsi="Arial"/>
          <w:rtl w:val="0"/>
        </w:rPr>
        <w:t xml:space="preserve">Se registra en el tablero de indicadores la accidentalidad e incidentalita que pueda presentarse en el desarrollo la operación de forma mensual, se analiza y se toman acciones para mitigar estos eventos</w:t>
      </w:r>
    </w:p>
    <w:p w:rsidR="00000000" w:rsidDel="00000000" w:rsidP="00000000" w:rsidRDefault="00000000" w:rsidRPr="00000000" w14:paraId="00000006">
      <w:pPr>
        <w:rPr>
          <w:rFonts w:ascii="Arial" w:cs="Arial" w:eastAsia="Arial" w:hAnsi="Arial"/>
        </w:rPr>
      </w:pPr>
      <w:r w:rsidDel="00000000" w:rsidR="00000000" w:rsidRPr="00000000">
        <w:rPr>
          <w:rFonts w:ascii="Arial" w:cs="Arial" w:eastAsia="Arial" w:hAnsi="Arial"/>
          <w:rtl w:val="0"/>
        </w:rPr>
        <w:t xml:space="preserve">De forma anual se revisa la siniestralidad presentada y se toman acciones </w:t>
      </w:r>
    </w:p>
    <w:p w:rsidR="00000000" w:rsidDel="00000000" w:rsidP="00000000" w:rsidRDefault="00000000" w:rsidRPr="00000000" w14:paraId="00000007">
      <w:pPr>
        <w:rPr>
          <w:rFonts w:ascii="Arial" w:cs="Arial" w:eastAsia="Arial" w:hAnsi="Arial"/>
        </w:rPr>
      </w:pPr>
      <w:r w:rsidDel="00000000" w:rsidR="00000000" w:rsidRPr="00000000">
        <w:rPr>
          <w:rtl w:val="0"/>
        </w:rPr>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Paso 21. Registro y análisis estadístico de siniestros viales (Aplica para nivel Avanzado)</w:t>
      </w:r>
      <w:r w:rsidDel="00000000" w:rsidR="00000000" w:rsidRPr="00000000">
        <w:rPr>
          <w:rtl w:val="0"/>
        </w:rPr>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partir de la linea base establecida siguiendo los lineamientos del Paso 5. Relacionado con el Diagnóstico, la Organización debe definir y documentar su nivel de pérdida clasificando sus siniestros viales con miras a proyectar estadísticamente la mejora y/o reducción de los mismos, según la metodología de la Pirámide de la Seguridad Vial (Hyden, 1987).</w:t>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El nivel de pérdida es la representación de la punta de la Pirámide de la Seguridad Vial, adicionando variables de pérdida que son relevantes para las organizaciones y permite analizar los siniestros viales según su severidad; los niveles de la pirámide muestran que para eliminar los siniestros viales más graves se deben prevenir los siniestros leves. La pirámide contiene los siguientes niveles: los siniestros con muertos, los siniestros con Lesionados graves, los siniestros con Lesionados leves, los siniestros con solo daños materiales, cuasi colisiones, conflictos leves, conflictos potenciales y eventos normales. Tal como se muestra en la ilustración 10.</w:t>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Luego, con base en la Pirámide de la Seguridad Vial, la organización construye e implementa una Matriz de Nivel de Pérdida, la cual depende de las variables que son más relevantes para la organización y que permitan mantener en el tiempo, estadísticas según los siniestros viales. En la Tabla 11. Ejemplo Matriz de Nivel de Pérdida se muestra un ejemplo para la definición del nivel de perdida:</w:t>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0" w:right="0" w:firstLine="0"/>
        <w:jc w:val="center"/>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Tabla 11. Ejemplo Matriz de Nivel de Pérdida</w:t>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0" w:right="0" w:firstLine="0"/>
        <w:jc w:val="center"/>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Pr>
        <w:drawing>
          <wp:inline distB="0" distT="0" distL="0" distR="0">
            <wp:extent cx="5400040" cy="1667510"/>
            <wp:effectExtent b="0" l="0" r="0" t="0"/>
            <wp:docPr id="92991515" name="image1.gif"/>
            <a:graphic>
              <a:graphicData uri="http://schemas.openxmlformats.org/drawingml/2006/picture">
                <pic:pic>
                  <pic:nvPicPr>
                    <pic:cNvPr id="0" name="image1.gif"/>
                    <pic:cNvPicPr preferRelativeResize="0"/>
                  </pic:nvPicPr>
                  <pic:blipFill>
                    <a:blip r:embed="rId7"/>
                    <a:srcRect b="0" l="0" r="0" t="0"/>
                    <a:stretch>
                      <a:fillRect/>
                    </a:stretch>
                  </pic:blipFill>
                  <pic:spPr>
                    <a:xfrm>
                      <a:off x="0" y="0"/>
                      <a:ext cx="5400040" cy="1667510"/>
                    </a:xfrm>
                    <a:prstGeom prst="rect"/>
                    <a:ln/>
                  </pic:spPr>
                </pic:pic>
              </a:graphicData>
            </a:graphic>
          </wp:inline>
        </w:drawing>
      </w:r>
      <w:r w:rsidDel="00000000" w:rsidR="00000000" w:rsidRPr="00000000">
        <w:rPr>
          <w:rtl w:val="0"/>
        </w:rPr>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0" w:right="0" w:firstLine="0"/>
        <w:jc w:val="center"/>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Fuente. Elaboración propia a partir de la Pirámide de la Seguridad Vial (Hyden, 1987).</w:t>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Posteriormente, si se tiene información disponible, se clasifican los datos históricos de los siniestros viales con base en el nivel de pérdida (preferiblemente de los últimos cinco años), luego se establece la tendencia de los siniestros viales y se define su límite máximo tolerable por la organización.</w:t>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En caso de que la organización no cuente con datos históricos de sus siniestros viales, la clasificación del nivel de pérdida se debe empezar a construir a partir del diseño e implementación del PESV.</w:t>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Finalmente, se realiza una proyección estadística con base en los siniestros viales del último año. la cual debe ser realista, e implementar la visión de cero siniestros viales.</w:t>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La organización debe documentar el registro estadístico de los siniestros viales, diferenciando los siniestros viales de acuerdo con la gravedad del evento según el nivel de pérdida y separando los análisis estadísticos de los desplazamientos laborales de los desplazamientos cotidianos/ no laborales: luego debe analizar este registro y establecer las conclusiones del análisis. lo cual será el punto de partida del Paso 9. Plan anual de trabajo (Aplica para todos los niveles) y del Paso 10. Competencia y plan anual de formación (Aplica para todos los niveles).</w:t>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En este paso, el CSV analiza los resultados de la siniestralidad vial, las tendencias incluyendo el análisis de correlación espacial y temporal, las causas inmediatas y causas raíz de los siniestros viales de la organización y de contratistas, con el objetivo de que la organización focalice los recursos de la seguridad vial en los factores principales que contribuyen en los siniestros viales y que están bajo el control de la organización.</w:t>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Posteriormente, si se tiene información disponible, se clasifican los datos históricos de los siniestros viales con base en el nivel de pérdida (preferiblemente de los últimos cinco años), luego se establece la tendencia de los siniestros viales y se define su límite máximo tolerable por la organización.</w:t>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En caso de que la organización no cuente con datos históricos de sus siniestros viales, la clasificación del nivel de pérdida se debe empezar a construir a partir del diseño e implementación del PESV.</w:t>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Finalmente, se realiza una proyección estadística con base en los siniestros viales del último año. la cual debe ser realista, e implementar la visión de cero siniestros viales.</w:t>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La organización debe documentar el registro estadístico de los siniestros viales, diferenciando los siniestros viales de acuerdo con la gravedad del evento según el nivel de pérdida y separando los análisis estadísticos de los desplazamientos laborales de los desplazamientos cotidianos/ no laborales: luego debe analizar este registro y establecer las conclusiones del análisis. lo cual será el punto de partida del Paso 9. Plan anual de trabajo (Aplica para todos los niveles) y del Paso 10. Competencia y plan anual de formación (Aplica para todos los niveles).</w:t>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En este paso, el CSV analiza los resultados de la siniestralidad vial, las tendencias incluyendo el análisis de correlación espacial y temporal, las causas inmediatas y causas raíz de los siniestros viales de la organización y de contratistas, con el objetivo de que la organización focalice los recursos de la seguridad vial en los factores principales que contribuyen en los siniestros viales y que están bajo el control de la organización.</w:t>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En la siguiente imagen se muestra un ejemplo del tablero de control para realizar el análisis de los siniestros viales y las acciones del PESV.</w:t>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Información sobre la articulación del PESV con el SG-SST e ISO 39001: El registro y análisis estadístico de los siniestros viales del PESV, coincide con los requisitos establecidos en el SG-SST y la norma ISO 39001. asi:</w:t>
      </w:r>
    </w:p>
    <w:tbl>
      <w:tblPr>
        <w:tblStyle w:val="Table1"/>
        <w:tblW w:w="8483.999999999998" w:type="dxa"/>
        <w:jc w:val="left"/>
        <w:tblLayout w:type="fixed"/>
        <w:tblLook w:val="0400"/>
      </w:tblPr>
      <w:tblGrid>
        <w:gridCol w:w="2834"/>
        <w:gridCol w:w="3747"/>
        <w:gridCol w:w="1903"/>
        <w:tblGridChange w:id="0">
          <w:tblGrid>
            <w:gridCol w:w="2834"/>
            <w:gridCol w:w="3747"/>
            <w:gridCol w:w="1903"/>
          </w:tblGrid>
        </w:tblGridChange>
      </w:tblGrid>
      <w:tr>
        <w:trPr>
          <w:cantSplit w:val="0"/>
          <w:tblHeader w:val="0"/>
        </w:trPr>
        <w:tc>
          <w:tcPr>
            <w:tcBorders>
              <w:top w:color="000000" w:space="0" w:sz="8" w:val="single"/>
              <w:left w:color="000000" w:space="0" w:sz="8" w:val="single"/>
              <w:bottom w:color="000000" w:space="0" w:sz="8" w:val="single"/>
              <w:right w:color="000000" w:space="0" w:sz="8" w:val="single"/>
            </w:tcBorders>
            <w:shd w:fill="ffffff" w:val="clear"/>
          </w:tcPr>
          <w:p w:rsidR="00000000" w:rsidDel="00000000" w:rsidP="00000000" w:rsidRDefault="00000000" w:rsidRPr="00000000" w14:paraId="0000001B">
            <w:pPr>
              <w:ind w:left="14" w:firstLine="0"/>
              <w:jc w:val="both"/>
              <w:rPr>
                <w:rFonts w:ascii="Arial" w:cs="Arial" w:eastAsia="Arial" w:hAnsi="Arial"/>
                <w:color w:val="000000"/>
              </w:rPr>
            </w:pPr>
            <w:r w:rsidDel="00000000" w:rsidR="00000000" w:rsidRPr="00000000">
              <w:rPr>
                <w:rFonts w:ascii="Arial" w:cs="Arial" w:eastAsia="Arial" w:hAnsi="Arial"/>
                <w:b w:val="1"/>
                <w:color w:val="375682"/>
                <w:rtl w:val="0"/>
              </w:rPr>
              <w:t xml:space="preserve">PESV</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ffffff" w:val="clear"/>
          </w:tcPr>
          <w:p w:rsidR="00000000" w:rsidDel="00000000" w:rsidP="00000000" w:rsidRDefault="00000000" w:rsidRPr="00000000" w14:paraId="0000001C">
            <w:pPr>
              <w:ind w:left="14" w:firstLine="0"/>
              <w:jc w:val="both"/>
              <w:rPr>
                <w:rFonts w:ascii="Arial" w:cs="Arial" w:eastAsia="Arial" w:hAnsi="Arial"/>
                <w:color w:val="000000"/>
              </w:rPr>
            </w:pPr>
            <w:r w:rsidDel="00000000" w:rsidR="00000000" w:rsidRPr="00000000">
              <w:rPr>
                <w:rFonts w:ascii="Arial" w:cs="Arial" w:eastAsia="Arial" w:hAnsi="Arial"/>
                <w:b w:val="1"/>
                <w:color w:val="375682"/>
                <w:rtl w:val="0"/>
              </w:rPr>
              <w:t xml:space="preserve">Decreto </w:t>
            </w:r>
            <w:hyperlink r:id="rId8">
              <w:r w:rsidDel="00000000" w:rsidR="00000000" w:rsidRPr="00000000">
                <w:rPr>
                  <w:rFonts w:ascii="Arial" w:cs="Arial" w:eastAsia="Arial" w:hAnsi="Arial"/>
                  <w:b w:val="1"/>
                  <w:color w:val="a69977"/>
                  <w:u w:val="single"/>
                  <w:rtl w:val="0"/>
                </w:rPr>
                <w:t xml:space="preserve">1072</w:t>
              </w:r>
            </w:hyperlink>
            <w:r w:rsidDel="00000000" w:rsidR="00000000" w:rsidRPr="00000000">
              <w:rPr>
                <w:rFonts w:ascii="Arial" w:cs="Arial" w:eastAsia="Arial" w:hAnsi="Arial"/>
                <w:b w:val="1"/>
                <w:color w:val="375682"/>
                <w:rtl w:val="0"/>
              </w:rPr>
              <w:t xml:space="preserve"> de 2015 SG-SST</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ffffff" w:val="clear"/>
          </w:tcPr>
          <w:p w:rsidR="00000000" w:rsidDel="00000000" w:rsidP="00000000" w:rsidRDefault="00000000" w:rsidRPr="00000000" w14:paraId="0000001D">
            <w:pPr>
              <w:ind w:left="14" w:firstLine="0"/>
              <w:jc w:val="both"/>
              <w:rPr>
                <w:rFonts w:ascii="Arial" w:cs="Arial" w:eastAsia="Arial" w:hAnsi="Arial"/>
                <w:color w:val="000000"/>
              </w:rPr>
            </w:pPr>
            <w:r w:rsidDel="00000000" w:rsidR="00000000" w:rsidRPr="00000000">
              <w:rPr>
                <w:rFonts w:ascii="Arial" w:cs="Arial" w:eastAsia="Arial" w:hAnsi="Arial"/>
                <w:b w:val="1"/>
                <w:color w:val="375682"/>
                <w:rtl w:val="0"/>
              </w:rPr>
              <w:t xml:space="preserve">ISO 39001</w:t>
            </w:r>
            <w:r w:rsidDel="00000000" w:rsidR="00000000" w:rsidRPr="00000000">
              <w:rPr>
                <w:rtl w:val="0"/>
              </w:rPr>
            </w:r>
          </w:p>
        </w:tc>
      </w:tr>
      <w:tr>
        <w:trPr>
          <w:cantSplit w:val="0"/>
          <w:tblHeader w:val="0"/>
        </w:trPr>
        <w:tc>
          <w:tcPr>
            <w:tcBorders>
              <w:top w:color="000000" w:space="0" w:sz="8" w:val="single"/>
              <w:left w:color="000000" w:space="0" w:sz="8" w:val="single"/>
              <w:bottom w:color="000000" w:space="0" w:sz="8" w:val="single"/>
              <w:right w:color="000000" w:space="0" w:sz="8" w:val="single"/>
            </w:tcBorders>
            <w:shd w:fill="ffffff" w:val="clear"/>
          </w:tcPr>
          <w:p w:rsidR="00000000" w:rsidDel="00000000" w:rsidP="00000000" w:rsidRDefault="00000000" w:rsidRPr="00000000" w14:paraId="0000001E">
            <w:pPr>
              <w:ind w:left="14" w:firstLine="0"/>
              <w:jc w:val="both"/>
              <w:rPr>
                <w:rFonts w:ascii="Arial" w:cs="Arial" w:eastAsia="Arial" w:hAnsi="Arial"/>
                <w:color w:val="000000"/>
              </w:rPr>
            </w:pPr>
            <w:r w:rsidDel="00000000" w:rsidR="00000000" w:rsidRPr="00000000">
              <w:rPr>
                <w:rFonts w:ascii="Arial" w:cs="Arial" w:eastAsia="Arial" w:hAnsi="Arial"/>
                <w:color w:val="000000"/>
                <w:rtl w:val="0"/>
              </w:rPr>
              <w:t xml:space="preserve">Paso 21. Registro y análisis estadístico de siniestros viales (Aplica para nivel Avanzado)</w:t>
            </w:r>
          </w:p>
        </w:tc>
        <w:tc>
          <w:tcPr>
            <w:tcBorders>
              <w:top w:color="000000" w:space="0" w:sz="8" w:val="single"/>
              <w:left w:color="000000" w:space="0" w:sz="8" w:val="single"/>
              <w:bottom w:color="000000" w:space="0" w:sz="8" w:val="single"/>
              <w:right w:color="000000" w:space="0" w:sz="8" w:val="single"/>
            </w:tcBorders>
            <w:shd w:fill="ffffff" w:val="clear"/>
            <w:vAlign w:val="bottom"/>
          </w:tcPr>
          <w:p w:rsidR="00000000" w:rsidDel="00000000" w:rsidP="00000000" w:rsidRDefault="00000000" w:rsidRPr="00000000" w14:paraId="0000001F">
            <w:pPr>
              <w:ind w:left="14" w:firstLine="0"/>
              <w:jc w:val="both"/>
              <w:rPr>
                <w:rFonts w:ascii="Arial" w:cs="Arial" w:eastAsia="Arial" w:hAnsi="Arial"/>
                <w:color w:val="000000"/>
              </w:rPr>
            </w:pPr>
            <w:r w:rsidDel="00000000" w:rsidR="00000000" w:rsidRPr="00000000">
              <w:rPr>
                <w:rFonts w:ascii="Arial" w:cs="Arial" w:eastAsia="Arial" w:hAnsi="Arial"/>
                <w:color w:val="000000"/>
                <w:rtl w:val="0"/>
              </w:rPr>
              <w:t xml:space="preserve">Articulo </w:t>
            </w:r>
            <w:hyperlink r:id="rId9">
              <w:r w:rsidDel="00000000" w:rsidR="00000000" w:rsidRPr="00000000">
                <w:rPr>
                  <w:rFonts w:ascii="Arial" w:cs="Arial" w:eastAsia="Arial" w:hAnsi="Arial"/>
                  <w:color w:val="a69977"/>
                  <w:u w:val="single"/>
                  <w:rtl w:val="0"/>
                </w:rPr>
                <w:t xml:space="preserve">2.2.4.6.21</w:t>
              </w:r>
            </w:hyperlink>
            <w:r w:rsidDel="00000000" w:rsidR="00000000" w:rsidRPr="00000000">
              <w:rPr>
                <w:rFonts w:ascii="Arial" w:cs="Arial" w:eastAsia="Arial" w:hAnsi="Arial"/>
                <w:color w:val="000000"/>
                <w:rtl w:val="0"/>
              </w:rPr>
              <w:t xml:space="preserve"> Indicadores que evalúan el proceso del sistema de gestión de la seguridad y salud en el trabajo</w:t>
              <w:br w:type="textWrapping"/>
              <w:t xml:space="preserve">Articulo </w:t>
            </w:r>
            <w:hyperlink r:id="rId10">
              <w:r w:rsidDel="00000000" w:rsidR="00000000" w:rsidRPr="00000000">
                <w:rPr>
                  <w:rFonts w:ascii="Arial" w:cs="Arial" w:eastAsia="Arial" w:hAnsi="Arial"/>
                  <w:color w:val="a69977"/>
                  <w:u w:val="single"/>
                  <w:rtl w:val="0"/>
                </w:rPr>
                <w:t xml:space="preserve">2.2.4.6.22</w:t>
              </w:r>
            </w:hyperlink>
            <w:r w:rsidDel="00000000" w:rsidR="00000000" w:rsidRPr="00000000">
              <w:rPr>
                <w:rFonts w:ascii="Arial" w:cs="Arial" w:eastAsia="Arial" w:hAnsi="Arial"/>
                <w:color w:val="000000"/>
                <w:rtl w:val="0"/>
              </w:rPr>
              <w:t xml:space="preserve"> indicadores que evalúan el proceso del sistema de gestión de la seguridad y salud en el trabajo e Indicadores que evalúan el resultado del sistema de gestión de la seguridad y salud en el trabajo</w:t>
            </w:r>
          </w:p>
        </w:tc>
        <w:tc>
          <w:tcPr>
            <w:tcBorders>
              <w:top w:color="000000" w:space="0" w:sz="8" w:val="single"/>
              <w:left w:color="000000" w:space="0" w:sz="8" w:val="single"/>
              <w:bottom w:color="000000" w:space="0" w:sz="8" w:val="single"/>
              <w:right w:color="000000" w:space="0" w:sz="8" w:val="single"/>
            </w:tcBorders>
            <w:shd w:fill="ffffff" w:val="clear"/>
          </w:tcPr>
          <w:p w:rsidR="00000000" w:rsidDel="00000000" w:rsidP="00000000" w:rsidRDefault="00000000" w:rsidRPr="00000000" w14:paraId="00000020">
            <w:pPr>
              <w:ind w:left="14" w:firstLine="0"/>
              <w:jc w:val="both"/>
              <w:rPr>
                <w:rFonts w:ascii="Arial" w:cs="Arial" w:eastAsia="Arial" w:hAnsi="Arial"/>
                <w:color w:val="000000"/>
              </w:rPr>
            </w:pPr>
            <w:r w:rsidDel="00000000" w:rsidR="00000000" w:rsidRPr="00000000">
              <w:rPr>
                <w:rFonts w:ascii="Arial" w:cs="Arial" w:eastAsia="Arial" w:hAnsi="Arial"/>
                <w:color w:val="000000"/>
                <w:rtl w:val="0"/>
              </w:rPr>
              <w:t xml:space="preserve">9.1 Seguimiento, medición, análisis y evaluación</w:t>
            </w:r>
          </w:p>
        </w:tc>
      </w:tr>
    </w:tbl>
    <w:p w:rsidR="00000000" w:rsidDel="00000000" w:rsidP="00000000" w:rsidRDefault="00000000" w:rsidRPr="00000000" w14:paraId="00000021">
      <w:pPr>
        <w:rPr>
          <w:rFonts w:ascii="Arial" w:cs="Arial" w:eastAsia="Arial" w:hAnsi="Arial"/>
        </w:rPr>
      </w:pPr>
      <w:r w:rsidDel="00000000" w:rsidR="00000000" w:rsidRPr="00000000">
        <w:rPr>
          <w:rtl w:val="0"/>
        </w:rPr>
      </w:r>
    </w:p>
    <w:sectPr>
      <w:headerReference r:id="rId11" w:type="default"/>
      <w:pgSz w:h="16838" w:w="11906" w:orient="portrait"/>
      <w:pgMar w:bottom="1417" w:top="1417" w:left="1701" w:right="1701"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Arial"/>
  <w:font w:name="Times New Roman"/>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rPr>
    </w:pPr>
    <w:r w:rsidDel="00000000" w:rsidR="00000000" w:rsidRPr="00000000">
      <w:rPr>
        <w:rtl w:val="0"/>
      </w:rPr>
    </w:r>
  </w:p>
  <w:tbl>
    <w:tblPr>
      <w:tblStyle w:val="Table2"/>
      <w:tblW w:w="10694.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114"/>
      <w:gridCol w:w="5769"/>
      <w:gridCol w:w="972"/>
      <w:gridCol w:w="839"/>
      <w:tblGridChange w:id="0">
        <w:tblGrid>
          <w:gridCol w:w="3114"/>
          <w:gridCol w:w="5769"/>
          <w:gridCol w:w="972"/>
          <w:gridCol w:w="839"/>
        </w:tblGrid>
      </w:tblGridChange>
    </w:tblGrid>
    <w:tr>
      <w:trPr>
        <w:cantSplit w:val="0"/>
        <w:trHeight w:val="415" w:hRule="atLeast"/>
        <w:tblHeader w:val="0"/>
      </w:trPr>
      <w:tc>
        <w:tcPr>
          <w:vMerge w:val="restart"/>
          <w:vAlign w:val="center"/>
        </w:tcPr>
        <w:p w:rsidR="00000000" w:rsidDel="00000000" w:rsidP="00000000" w:rsidRDefault="00000000" w:rsidRPr="00000000" w14:paraId="00000023">
          <w:pPr>
            <w:jc w:val="center"/>
            <w:rPr/>
          </w:pPr>
          <w:r w:rsidDel="00000000" w:rsidR="00000000" w:rsidRPr="00000000">
            <w:rPr>
              <w:rtl w:val="0"/>
            </w:rPr>
          </w:r>
        </w:p>
        <w:p w:rsidR="00000000" w:rsidDel="00000000" w:rsidP="00000000" w:rsidRDefault="00000000" w:rsidRPr="00000000" w14:paraId="00000024">
          <w:pPr>
            <w:tabs>
              <w:tab w:val="center" w:leader="none" w:pos="4252"/>
              <w:tab w:val="right" w:leader="none" w:pos="8504"/>
            </w:tabs>
            <w:jc w:val="center"/>
            <w:rPr>
              <w:rFonts w:ascii="Arial" w:cs="Arial" w:eastAsia="Arial" w:hAnsi="Arial"/>
            </w:rPr>
          </w:pPr>
          <w:r w:rsidDel="00000000" w:rsidR="00000000" w:rsidRPr="00000000">
            <w:rPr/>
            <w:drawing>
              <wp:inline distB="0" distT="0" distL="0" distR="0">
                <wp:extent cx="1840230" cy="511175"/>
                <wp:effectExtent b="0" l="0" r="0" t="0"/>
                <wp:docPr id="92991516"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1840230" cy="511175"/>
                        </a:xfrm>
                        <a:prstGeom prst="rect"/>
                        <a:ln/>
                      </pic:spPr>
                    </pic:pic>
                  </a:graphicData>
                </a:graphic>
              </wp:inline>
            </w:drawing>
          </w:r>
          <w:r w:rsidDel="00000000" w:rsidR="00000000" w:rsidRPr="00000000">
            <w:rPr>
              <w:rtl w:val="0"/>
            </w:rPr>
          </w:r>
        </w:p>
      </w:tc>
      <w:tc>
        <w:tcPr>
          <w:gridSpan w:val="3"/>
          <w:vAlign w:val="center"/>
        </w:tcPr>
        <w:p w:rsidR="00000000" w:rsidDel="00000000" w:rsidP="00000000" w:rsidRDefault="00000000" w:rsidRPr="00000000" w14:paraId="00000025">
          <w:pPr>
            <w:tabs>
              <w:tab w:val="center" w:leader="none" w:pos="4252"/>
              <w:tab w:val="right" w:leader="none" w:pos="8504"/>
            </w:tabs>
            <w:jc w:val="center"/>
            <w:rPr>
              <w:rFonts w:ascii="Arial" w:cs="Arial" w:eastAsia="Arial" w:hAnsi="Arial"/>
              <w:b w:val="1"/>
            </w:rPr>
          </w:pPr>
          <w:r w:rsidDel="00000000" w:rsidR="00000000" w:rsidRPr="00000000">
            <w:rPr>
              <w:rFonts w:ascii="Arial" w:cs="Arial" w:eastAsia="Arial" w:hAnsi="Arial"/>
              <w:b w:val="1"/>
              <w:rtl w:val="0"/>
            </w:rPr>
            <w:t xml:space="preserve">GESTIÓN SIG</w:t>
          </w:r>
        </w:p>
      </w:tc>
    </w:tr>
    <w:tr>
      <w:trPr>
        <w:cantSplit w:val="0"/>
        <w:tblHeader w:val="0"/>
      </w:trPr>
      <w:tc>
        <w:tcPr>
          <w:vMerge w:val="continue"/>
          <w:vAlign w:val="center"/>
        </w:tcPr>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rPr>
          </w:pPr>
          <w:r w:rsidDel="00000000" w:rsidR="00000000" w:rsidRPr="00000000">
            <w:rPr>
              <w:rtl w:val="0"/>
            </w:rPr>
          </w:r>
        </w:p>
      </w:tc>
      <w:tc>
        <w:tcPr>
          <w:vMerge w:val="restart"/>
          <w:tcMar>
            <w:left w:w="108.0" w:type="dxa"/>
            <w:right w:w="108.0" w:type="dxa"/>
          </w:tcMar>
          <w:vAlign w:val="center"/>
        </w:tcPr>
        <w:p w:rsidR="00000000" w:rsidDel="00000000" w:rsidP="00000000" w:rsidRDefault="00000000" w:rsidRPr="00000000" w14:paraId="00000029">
          <w:pPr>
            <w:jc w:val="center"/>
            <w:rPr>
              <w:rFonts w:ascii="Arial" w:cs="Arial" w:eastAsia="Arial" w:hAnsi="Arial"/>
            </w:rPr>
          </w:pPr>
          <w:r w:rsidDel="00000000" w:rsidR="00000000" w:rsidRPr="00000000">
            <w:rPr>
              <w:rFonts w:ascii="Arial" w:cs="Arial" w:eastAsia="Arial" w:hAnsi="Arial"/>
              <w:b w:val="1"/>
              <w:rtl w:val="0"/>
            </w:rPr>
            <w:t xml:space="preserve">REGISTRO Y ANALISIS ESTADISTICO DE ACCIDENTES DE TRANSITO</w:t>
          </w:r>
          <w:r w:rsidDel="00000000" w:rsidR="00000000" w:rsidRPr="00000000">
            <w:rPr>
              <w:rtl w:val="0"/>
            </w:rPr>
          </w:r>
        </w:p>
      </w:tc>
      <w:tc>
        <w:tcPr>
          <w:tcMar>
            <w:left w:w="108.0" w:type="dxa"/>
            <w:right w:w="108.0" w:type="dxa"/>
          </w:tcMar>
          <w:vAlign w:val="center"/>
        </w:tcPr>
        <w:p w:rsidR="00000000" w:rsidDel="00000000" w:rsidP="00000000" w:rsidRDefault="00000000" w:rsidRPr="00000000" w14:paraId="0000002A">
          <w:pPr>
            <w:tabs>
              <w:tab w:val="center" w:leader="none" w:pos="4252"/>
              <w:tab w:val="right" w:leader="none" w:pos="8504"/>
            </w:tabs>
            <w:jc w:val="center"/>
            <w:rPr>
              <w:rFonts w:ascii="Arial" w:cs="Arial" w:eastAsia="Arial" w:hAnsi="Arial"/>
            </w:rPr>
          </w:pPr>
          <w:r w:rsidDel="00000000" w:rsidR="00000000" w:rsidRPr="00000000">
            <w:rPr>
              <w:rtl w:val="0"/>
            </w:rPr>
          </w:r>
        </w:p>
      </w:tc>
      <w:tc>
        <w:tcPr>
          <w:tcMar>
            <w:left w:w="108.0" w:type="dxa"/>
            <w:right w:w="108.0" w:type="dxa"/>
          </w:tcMar>
          <w:vAlign w:val="center"/>
        </w:tcPr>
        <w:p w:rsidR="00000000" w:rsidDel="00000000" w:rsidP="00000000" w:rsidRDefault="00000000" w:rsidRPr="00000000" w14:paraId="0000002B">
          <w:pPr>
            <w:tabs>
              <w:tab w:val="center" w:leader="none" w:pos="4252"/>
              <w:tab w:val="right" w:leader="none" w:pos="8504"/>
            </w:tabs>
            <w:jc w:val="center"/>
            <w:rPr>
              <w:rFonts w:ascii="Arial" w:cs="Arial" w:eastAsia="Arial" w:hAnsi="Arial"/>
            </w:rPr>
          </w:pPr>
          <w:r w:rsidDel="00000000" w:rsidR="00000000" w:rsidRPr="00000000">
            <w:rPr>
              <w:rtl w:val="0"/>
            </w:rPr>
          </w:r>
        </w:p>
      </w:tc>
    </w:tr>
    <w:tr>
      <w:trPr>
        <w:cantSplit w:val="0"/>
        <w:tblHeader w:val="0"/>
      </w:trPr>
      <w:tc>
        <w:tcPr>
          <w:vMerge w:val="continue"/>
          <w:vAlign w:val="center"/>
        </w:tcPr>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rPr>
          </w:pPr>
          <w:r w:rsidDel="00000000" w:rsidR="00000000" w:rsidRPr="00000000">
            <w:rPr>
              <w:rtl w:val="0"/>
            </w:rPr>
          </w:r>
        </w:p>
      </w:tc>
      <w:tc>
        <w:tcPr>
          <w:vMerge w:val="continue"/>
          <w:tcMar>
            <w:left w:w="108.0" w:type="dxa"/>
            <w:right w:w="108.0" w:type="dxa"/>
          </w:tcMar>
          <w:vAlign w:val="center"/>
        </w:tcPr>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rPr>
          </w:pPr>
          <w:r w:rsidDel="00000000" w:rsidR="00000000" w:rsidRPr="00000000">
            <w:rPr>
              <w:rtl w:val="0"/>
            </w:rPr>
          </w:r>
        </w:p>
      </w:tc>
      <w:tc>
        <w:tcPr>
          <w:tcMar>
            <w:left w:w="108.0" w:type="dxa"/>
            <w:right w:w="108.0" w:type="dxa"/>
          </w:tcMar>
          <w:vAlign w:val="center"/>
        </w:tcPr>
        <w:p w:rsidR="00000000" w:rsidDel="00000000" w:rsidP="00000000" w:rsidRDefault="00000000" w:rsidRPr="00000000" w14:paraId="0000002E">
          <w:pPr>
            <w:tabs>
              <w:tab w:val="center" w:leader="none" w:pos="4252"/>
              <w:tab w:val="right" w:leader="none" w:pos="8504"/>
            </w:tabs>
            <w:jc w:val="center"/>
            <w:rPr>
              <w:rFonts w:ascii="Arial" w:cs="Arial" w:eastAsia="Arial" w:hAnsi="Arial"/>
            </w:rPr>
          </w:pPr>
          <w:r w:rsidDel="00000000" w:rsidR="00000000" w:rsidRPr="00000000">
            <w:rPr>
              <w:rFonts w:ascii="Arial" w:cs="Arial" w:eastAsia="Arial" w:hAnsi="Arial"/>
              <w:rtl w:val="0"/>
            </w:rPr>
            <w:t xml:space="preserve">Versión: 01</w:t>
          </w:r>
        </w:p>
        <w:tbl>
          <w:tblPr>
            <w:tblStyle w:val="Table3"/>
            <w:tblW w:w="10694.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694"/>
            <w:tblGridChange w:id="0">
              <w:tblGrid>
                <w:gridCol w:w="10694"/>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2F">
                <w:pPr>
                  <w:tabs>
                    <w:tab w:val="center" w:leader="none" w:pos="4252"/>
                    <w:tab w:val="right" w:leader="none" w:pos="8504"/>
                  </w:tabs>
                  <w:jc w:val="center"/>
                  <w:rPr>
                    <w:rFonts w:ascii="Arial" w:cs="Arial" w:eastAsia="Arial" w:hAnsi="Arial"/>
                  </w:rPr>
                </w:pPr>
                <w:r w:rsidDel="00000000" w:rsidR="00000000" w:rsidRPr="00000000">
                  <w:rPr>
                    <w:rtl w:val="0"/>
                  </w:rPr>
                </w:r>
              </w:p>
            </w:tc>
          </w:tr>
        </w:tbl>
        <w:p w:rsidR="00000000" w:rsidDel="00000000" w:rsidP="00000000" w:rsidRDefault="00000000" w:rsidRPr="00000000" w14:paraId="00000030">
          <w:pPr>
            <w:tabs>
              <w:tab w:val="center" w:leader="none" w:pos="4252"/>
              <w:tab w:val="right" w:leader="none" w:pos="8504"/>
            </w:tabs>
            <w:jc w:val="center"/>
            <w:rPr>
              <w:rFonts w:ascii="Arial" w:cs="Arial" w:eastAsia="Arial" w:hAnsi="Arial"/>
            </w:rPr>
          </w:pPr>
          <w:r w:rsidDel="00000000" w:rsidR="00000000" w:rsidRPr="00000000">
            <w:rPr>
              <w:rtl w:val="0"/>
            </w:rPr>
          </w:r>
        </w:p>
      </w:tc>
      <w:tc>
        <w:tcPr>
          <w:tcMar>
            <w:left w:w="108.0" w:type="dxa"/>
            <w:right w:w="108.0" w:type="dxa"/>
          </w:tcMar>
          <w:vAlign w:val="center"/>
        </w:tcPr>
        <w:p w:rsidR="00000000" w:rsidDel="00000000" w:rsidP="00000000" w:rsidRDefault="00000000" w:rsidRPr="00000000" w14:paraId="00000031">
          <w:pPr>
            <w:tabs>
              <w:tab w:val="center" w:leader="none" w:pos="4252"/>
              <w:tab w:val="right" w:leader="none" w:pos="8504"/>
            </w:tabs>
            <w:jc w:val="center"/>
            <w:rPr>
              <w:rFonts w:ascii="Arial" w:cs="Arial" w:eastAsia="Arial" w:hAnsi="Arial"/>
            </w:rPr>
          </w:pPr>
          <w:r w:rsidDel="00000000" w:rsidR="00000000" w:rsidRPr="00000000">
            <w:rPr>
              <w:rFonts w:ascii="Arial" w:cs="Arial" w:eastAsia="Arial" w:hAnsi="Arial"/>
              <w:rtl w:val="0"/>
            </w:rPr>
            <w:t xml:space="preserve">Página </w:t>
          </w:r>
          <w:r w:rsidDel="00000000" w:rsidR="00000000" w:rsidRPr="00000000">
            <w:rPr>
              <w:rFonts w:ascii="Arial" w:cs="Arial" w:eastAsia="Arial" w:hAnsi="Arial"/>
              <w:b w:val="1"/>
            </w:rPr>
            <w:fldChar w:fldCharType="begin"/>
            <w:instrText xml:space="preserve">PAGE</w:instrText>
            <w:fldChar w:fldCharType="separate"/>
            <w:fldChar w:fldCharType="end"/>
          </w:r>
          <w:r w:rsidDel="00000000" w:rsidR="00000000" w:rsidRPr="00000000">
            <w:rPr>
              <w:rFonts w:ascii="Arial" w:cs="Arial" w:eastAsia="Arial" w:hAnsi="Arial"/>
              <w:rtl w:val="0"/>
            </w:rPr>
            <w:t xml:space="preserve"> de </w:t>
          </w:r>
          <w:r w:rsidDel="00000000" w:rsidR="00000000" w:rsidRPr="00000000">
            <w:rPr>
              <w:rFonts w:ascii="Arial" w:cs="Arial" w:eastAsia="Arial" w:hAnsi="Arial"/>
              <w:b w:val="1"/>
            </w:rPr>
            <w:fldChar w:fldCharType="begin"/>
            <w:instrText xml:space="preserve">NUMPAGES</w:instrText>
            <w:fldChar w:fldCharType="separate"/>
            <w:fldChar w:fldCharType="end"/>
          </w:r>
          <w:r w:rsidDel="00000000" w:rsidR="00000000" w:rsidRPr="00000000">
            <w:rPr>
              <w:rtl w:val="0"/>
            </w:rPr>
          </w:r>
        </w:p>
      </w:tc>
    </w:tr>
  </w:tbl>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9"/>
      <w:numFmt w:val="decimal"/>
      <w:lvlText w:val="%1."/>
      <w:lvlJc w:val="left"/>
      <w:pPr>
        <w:ind w:left="720" w:hanging="360"/>
      </w:pPr>
      <w:rPr/>
    </w:lvl>
    <w:lvl w:ilvl="1">
      <w:start w:val="2"/>
      <w:numFmt w:val="decimal"/>
      <w:lvlText w:val="%1.%2"/>
      <w:lvlJc w:val="left"/>
      <w:pPr>
        <w:ind w:left="720" w:hanging="360"/>
      </w:pPr>
      <w:rPr/>
    </w:lvl>
    <w:lvl w:ilvl="2">
      <w:start w:val="1"/>
      <w:numFmt w:val="decimal"/>
      <w:lvlText w:val="%1.%2.%3"/>
      <w:lvlJc w:val="left"/>
      <w:pPr>
        <w:ind w:left="1080" w:hanging="720"/>
      </w:pPr>
      <w:rPr/>
    </w:lvl>
    <w:lvl w:ilvl="3">
      <w:start w:val="1"/>
      <w:numFmt w:val="decimal"/>
      <w:lvlText w:val="%1.%2.%3.%4"/>
      <w:lvlJc w:val="left"/>
      <w:pPr>
        <w:ind w:left="1080" w:hanging="720"/>
      </w:pPr>
      <w:rPr/>
    </w:lvl>
    <w:lvl w:ilvl="4">
      <w:start w:val="1"/>
      <w:numFmt w:val="decimal"/>
      <w:lvlText w:val="%1.%2.%3.%4.%5"/>
      <w:lvlJc w:val="left"/>
      <w:pPr>
        <w:ind w:left="1440" w:hanging="1080"/>
      </w:pPr>
      <w:rPr/>
    </w:lvl>
    <w:lvl w:ilvl="5">
      <w:start w:val="1"/>
      <w:numFmt w:val="decimal"/>
      <w:lvlText w:val="%1.%2.%3.%4.%5.%6"/>
      <w:lvlJc w:val="left"/>
      <w:pPr>
        <w:ind w:left="1440" w:hanging="1080"/>
      </w:pPr>
      <w:rPr/>
    </w:lvl>
    <w:lvl w:ilvl="6">
      <w:start w:val="1"/>
      <w:numFmt w:val="decimal"/>
      <w:lvlText w:val="%1.%2.%3.%4.%5.%6.%7"/>
      <w:lvlJc w:val="left"/>
      <w:pPr>
        <w:ind w:left="1800" w:hanging="1440"/>
      </w:pPr>
      <w:rPr/>
    </w:lvl>
    <w:lvl w:ilvl="7">
      <w:start w:val="1"/>
      <w:numFmt w:val="decimal"/>
      <w:lvlText w:val="%1.%2.%3.%4.%5.%6.%7.%8"/>
      <w:lvlJc w:val="left"/>
      <w:pPr>
        <w:ind w:left="1800" w:hanging="1440"/>
      </w:pPr>
      <w:rPr/>
    </w:lvl>
    <w:lvl w:ilvl="8">
      <w:start w:val="1"/>
      <w:numFmt w:val="decimal"/>
      <w:lvlText w:val="%1.%2.%3.%4.%5.%6.%7.%8.%9"/>
      <w:lvlJc w:val="left"/>
      <w:pPr>
        <w:ind w:left="2160" w:hanging="180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s-CO"/>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7D39ED"/>
    <w:rPr>
      <w:rFonts w:ascii="Times New Roman" w:cs="Times New Roman" w:eastAsia="Times New Roman" w:hAnsi="Times New Roman"/>
      <w:kern w:val="0"/>
      <w:lang w:eastAsia="es-ES_tradnl"/>
    </w:rPr>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paragraph" w:styleId="Prrafodelista">
    <w:name w:val="List Paragraph"/>
    <w:aliases w:val="titulo 3,Bullets,Dot pt,List Paragraph Char Char Char,Indicator Text,List Paragraph1,Numbered Para 1,Colorful List - Accent 11,Bullet 1,F5 List Paragraph,Bullet Points,Ha,HOJA,Bolita,Párrafo de lista4,List Paragraph 1,No Spacing1,List"/>
    <w:basedOn w:val="Normal"/>
    <w:link w:val="PrrafodelistaCar"/>
    <w:uiPriority w:val="34"/>
    <w:qFormat w:val="1"/>
    <w:rsid w:val="007D39ED"/>
    <w:pPr>
      <w:ind w:left="720"/>
      <w:contextualSpacing w:val="1"/>
    </w:pPr>
  </w:style>
  <w:style w:type="character" w:styleId="PrrafodelistaCar" w:customStyle="1">
    <w:name w:val="Párrafo de lista Car"/>
    <w:aliases w:val="titulo 3 Car,Bullets Car,Dot pt Car,List Paragraph Char Char Char Car,Indicator Text Car,List Paragraph1 Car,Numbered Para 1 Car,Colorful List - Accent 11 Car,Bullet 1 Car,F5 List Paragraph Car,Bullet Points Car,Ha Car,HOJA Car"/>
    <w:link w:val="Prrafodelista"/>
    <w:uiPriority w:val="34"/>
    <w:qFormat w:val="1"/>
    <w:locked w:val="1"/>
    <w:rsid w:val="007D39ED"/>
    <w:rPr>
      <w:rFonts w:ascii="Times New Roman" w:cs="Times New Roman" w:eastAsia="Times New Roman" w:hAnsi="Times New Roman"/>
      <w:kern w:val="0"/>
      <w:lang w:eastAsia="es-ES_tradnl"/>
    </w:rPr>
  </w:style>
  <w:style w:type="paragraph" w:styleId="NormalWeb">
    <w:name w:val="Normal (Web)"/>
    <w:basedOn w:val="Normal"/>
    <w:uiPriority w:val="99"/>
    <w:semiHidden w:val="1"/>
    <w:unhideWhenUsed w:val="1"/>
    <w:rsid w:val="007D39ED"/>
    <w:pPr>
      <w:spacing w:after="100" w:afterAutospacing="1" w:before="100" w:beforeAutospacing="1"/>
    </w:pPr>
    <w:rPr>
      <w:lang w:eastAsia="es-MX"/>
    </w:rPr>
  </w:style>
  <w:style w:type="character" w:styleId="baj" w:customStyle="1">
    <w:name w:val="b_aj"/>
    <w:basedOn w:val="Fuentedeprrafopredeter"/>
    <w:rsid w:val="007D39ED"/>
  </w:style>
  <w:style w:type="paragraph" w:styleId="centrado" w:customStyle="1">
    <w:name w:val="centrado"/>
    <w:basedOn w:val="Normal"/>
    <w:rsid w:val="008A187C"/>
    <w:pPr>
      <w:spacing w:after="100" w:afterAutospacing="1" w:before="100" w:beforeAutospacing="1"/>
    </w:pPr>
    <w:rPr>
      <w:lang w:eastAsia="es-MX"/>
    </w:rPr>
  </w:style>
  <w:style w:type="table" w:styleId="Tablaconcuadrcula">
    <w:name w:val="Table Grid"/>
    <w:basedOn w:val="Tablanormal"/>
    <w:uiPriority w:val="39"/>
    <w:rsid w:val="003334EA"/>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Hipervnculo">
    <w:name w:val="Hyperlink"/>
    <w:basedOn w:val="Fuentedeprrafopredeter"/>
    <w:uiPriority w:val="99"/>
    <w:semiHidden w:val="1"/>
    <w:unhideWhenUsed w:val="1"/>
    <w:rsid w:val="003334EA"/>
    <w:rPr>
      <w:color w:val="0000ff"/>
      <w:u w:val="single"/>
    </w:rPr>
  </w:style>
  <w:style w:type="paragraph" w:styleId="Encabezado">
    <w:name w:val="header"/>
    <w:basedOn w:val="Normal"/>
    <w:link w:val="EncabezadoCar"/>
    <w:uiPriority w:val="99"/>
    <w:unhideWhenUsed w:val="1"/>
    <w:rsid w:val="005178C5"/>
    <w:pPr>
      <w:tabs>
        <w:tab w:val="center" w:pos="4419"/>
        <w:tab w:val="right" w:pos="8838"/>
      </w:tabs>
    </w:pPr>
  </w:style>
  <w:style w:type="character" w:styleId="EncabezadoCar" w:customStyle="1">
    <w:name w:val="Encabezado Car"/>
    <w:basedOn w:val="Fuentedeprrafopredeter"/>
    <w:link w:val="Encabezado"/>
    <w:uiPriority w:val="99"/>
    <w:rsid w:val="005178C5"/>
    <w:rPr>
      <w:rFonts w:ascii="Times New Roman" w:cs="Times New Roman" w:eastAsia="Times New Roman" w:hAnsi="Times New Roman"/>
      <w:kern w:val="0"/>
      <w:lang w:eastAsia="es-ES_tradnl"/>
    </w:rPr>
  </w:style>
  <w:style w:type="paragraph" w:styleId="Piedepgina">
    <w:name w:val="footer"/>
    <w:basedOn w:val="Normal"/>
    <w:link w:val="PiedepginaCar"/>
    <w:uiPriority w:val="99"/>
    <w:unhideWhenUsed w:val="1"/>
    <w:rsid w:val="005178C5"/>
    <w:pPr>
      <w:tabs>
        <w:tab w:val="center" w:pos="4419"/>
        <w:tab w:val="right" w:pos="8838"/>
      </w:tabs>
    </w:pPr>
  </w:style>
  <w:style w:type="character" w:styleId="PiedepginaCar" w:customStyle="1">
    <w:name w:val="Pie de página Car"/>
    <w:basedOn w:val="Fuentedeprrafopredeter"/>
    <w:link w:val="Piedepgina"/>
    <w:uiPriority w:val="99"/>
    <w:rsid w:val="005178C5"/>
    <w:rPr>
      <w:rFonts w:ascii="Times New Roman" w:cs="Times New Roman" w:eastAsia="Times New Roman" w:hAnsi="Times New Roman"/>
      <w:kern w:val="0"/>
      <w:lang w:eastAsia="es-ES_tradnl"/>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5.0" w:type="dxa"/>
        <w:left w:w="15.0" w:type="dxa"/>
        <w:bottom w:w="15.0" w:type="dxa"/>
        <w:right w:w="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eader" Target="header1.xml"/><Relationship Id="rId10" Type="http://schemas.openxmlformats.org/officeDocument/2006/relationships/hyperlink" Target="https://www.cancilleria.gov.co/sites/default/files/Normograma/docs/decreto_1072_2015.htm#2.2.4.6.22" TargetMode="External"/><Relationship Id="rId9" Type="http://schemas.openxmlformats.org/officeDocument/2006/relationships/hyperlink" Target="https://www.cancilleria.gov.co/sites/default/files/Normograma/docs/decreto_1072_2015.htm#2.2.4.6.21"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gif"/><Relationship Id="rId8" Type="http://schemas.openxmlformats.org/officeDocument/2006/relationships/hyperlink" Target="https://www.cancilleria.gov.co/sites/default/files/Normograma/docs/decreto_1072_2015.htm#INICI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Wvqr8ZIoQi+52bFle9H6Vn4/6jg==">CgMxLjA4AHIhMTI4WWNBLXo5ZEhGSzFCYUg3amtYbzlWMlNKOGRyVkZp</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2023-06-29T01:02:00Z</dcterms:created>
  <dc:creator>lucia moreno</dc:creator>
</cp:coreProperties>
</file>