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2533"/>
        <w:gridCol w:w="1427"/>
        <w:gridCol w:w="1886"/>
      </w:tblGrid>
      <w:tr w:rsidR="00E06C42" w:rsidTr="00E06C42">
        <w:trPr>
          <w:trHeight w:val="236"/>
        </w:trPr>
        <w:tc>
          <w:tcPr>
            <w:tcW w:w="3629" w:type="dxa"/>
            <w:vMerge w:val="restart"/>
          </w:tcPr>
          <w:p w:rsidR="00391761" w:rsidRDefault="00391761" w:rsidP="00E06C42">
            <w:pPr>
              <w:pStyle w:val="Encabezado"/>
            </w:pPr>
            <w:bookmarkStart w:id="0" w:name="_GoBack"/>
            <w:bookmarkEnd w:id="0"/>
            <w:r>
              <w:rPr>
                <w:rFonts w:cs="Arial"/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52675502" wp14:editId="61350B9C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198120</wp:posOffset>
                  </wp:positionV>
                  <wp:extent cx="371475" cy="363855"/>
                  <wp:effectExtent l="0" t="0" r="9525" b="0"/>
                  <wp:wrapNone/>
                  <wp:docPr id="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B0B505D" wp14:editId="0C16E0D2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229870</wp:posOffset>
                  </wp:positionV>
                  <wp:extent cx="1596390" cy="295275"/>
                  <wp:effectExtent l="0" t="0" r="3810" b="9525"/>
                  <wp:wrapNone/>
                  <wp:docPr id="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6" t="41609" r="3868" b="35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3" w:type="dxa"/>
            <w:vMerge w:val="restart"/>
          </w:tcPr>
          <w:p w:rsidR="00E06C42" w:rsidRPr="00E06C42" w:rsidRDefault="00E06C42" w:rsidP="00E06C42">
            <w:pPr>
              <w:rPr>
                <w:b/>
                <w:sz w:val="18"/>
                <w:szCs w:val="18"/>
              </w:rPr>
            </w:pPr>
            <w:r w:rsidRPr="00E06C42">
              <w:rPr>
                <w:b/>
                <w:sz w:val="18"/>
                <w:szCs w:val="18"/>
              </w:rPr>
              <w:t>POLITICA DE PREVENCIÓN DE CONSUMO   DE ALCOHOL Y SUSTANCIAS PSICOACTIVAS</w:t>
            </w:r>
          </w:p>
          <w:p w:rsidR="00391761" w:rsidRPr="00E06C42" w:rsidRDefault="00E06C42" w:rsidP="00E06C42">
            <w:pPr>
              <w:jc w:val="center"/>
              <w:rPr>
                <w:rFonts w:ascii="Times" w:eastAsia="Times New Roman" w:hAnsi="Times" w:cs="Times New Roman"/>
                <w:b/>
                <w:sz w:val="18"/>
                <w:szCs w:val="18"/>
                <w:lang w:val="es-CO"/>
              </w:rPr>
            </w:pPr>
            <w:r w:rsidRPr="00E06C42">
              <w:rPr>
                <w:rFonts w:ascii="Times" w:eastAsia="Times New Roman" w:hAnsi="Times" w:cs="Times New Roman"/>
                <w:b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427" w:type="dxa"/>
          </w:tcPr>
          <w:p w:rsidR="00391761" w:rsidRPr="00E06C42" w:rsidRDefault="00391761" w:rsidP="00E06C42">
            <w:pPr>
              <w:pStyle w:val="Encabezado"/>
              <w:rPr>
                <w:b/>
                <w:sz w:val="16"/>
              </w:rPr>
            </w:pPr>
            <w:r w:rsidRPr="00E06C42">
              <w:rPr>
                <w:b/>
                <w:sz w:val="16"/>
              </w:rPr>
              <w:t>CÓDIGO:</w:t>
            </w:r>
          </w:p>
        </w:tc>
        <w:tc>
          <w:tcPr>
            <w:tcW w:w="1886" w:type="dxa"/>
          </w:tcPr>
          <w:p w:rsidR="00391761" w:rsidRPr="00E06C42" w:rsidRDefault="006436B1" w:rsidP="00E06C42">
            <w:pPr>
              <w:pStyle w:val="Encabezado"/>
              <w:rPr>
                <w:sz w:val="16"/>
              </w:rPr>
            </w:pPr>
            <w:r>
              <w:rPr>
                <w:sz w:val="16"/>
              </w:rPr>
              <w:t>SGSST-02</w:t>
            </w:r>
          </w:p>
        </w:tc>
      </w:tr>
      <w:tr w:rsidR="00E06C42" w:rsidTr="00E06C42">
        <w:trPr>
          <w:trHeight w:val="148"/>
        </w:trPr>
        <w:tc>
          <w:tcPr>
            <w:tcW w:w="3629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2533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1427" w:type="dxa"/>
          </w:tcPr>
          <w:p w:rsidR="00391761" w:rsidRPr="00E06C42" w:rsidRDefault="00391761" w:rsidP="00E06C42">
            <w:pPr>
              <w:pStyle w:val="Encabezado"/>
              <w:rPr>
                <w:b/>
                <w:sz w:val="16"/>
              </w:rPr>
            </w:pPr>
            <w:r w:rsidRPr="00E06C42">
              <w:rPr>
                <w:b/>
                <w:sz w:val="16"/>
              </w:rPr>
              <w:t>VERSIÓN:</w:t>
            </w:r>
          </w:p>
        </w:tc>
        <w:tc>
          <w:tcPr>
            <w:tcW w:w="1886" w:type="dxa"/>
          </w:tcPr>
          <w:p w:rsidR="00391761" w:rsidRPr="00E06C42" w:rsidRDefault="00391761" w:rsidP="00E06C42">
            <w:pPr>
              <w:pStyle w:val="Encabezado"/>
              <w:rPr>
                <w:sz w:val="16"/>
              </w:rPr>
            </w:pPr>
            <w:r w:rsidRPr="00E06C42">
              <w:rPr>
                <w:sz w:val="16"/>
              </w:rPr>
              <w:t>01</w:t>
            </w:r>
          </w:p>
        </w:tc>
      </w:tr>
      <w:tr w:rsidR="00E06C42" w:rsidTr="00E06C42">
        <w:trPr>
          <w:trHeight w:val="148"/>
        </w:trPr>
        <w:tc>
          <w:tcPr>
            <w:tcW w:w="3629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2533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1427" w:type="dxa"/>
          </w:tcPr>
          <w:p w:rsidR="00391761" w:rsidRPr="00E06C42" w:rsidRDefault="00391761" w:rsidP="00E06C42">
            <w:pPr>
              <w:pStyle w:val="Encabezado"/>
              <w:rPr>
                <w:b/>
                <w:sz w:val="16"/>
              </w:rPr>
            </w:pPr>
            <w:r w:rsidRPr="00E06C42">
              <w:rPr>
                <w:b/>
                <w:sz w:val="16"/>
              </w:rPr>
              <w:t>FECHA:</w:t>
            </w:r>
          </w:p>
        </w:tc>
        <w:tc>
          <w:tcPr>
            <w:tcW w:w="1886" w:type="dxa"/>
          </w:tcPr>
          <w:p w:rsidR="00391761" w:rsidRPr="00E06C42" w:rsidRDefault="00391761" w:rsidP="00E06C42">
            <w:pPr>
              <w:pStyle w:val="Encabezado"/>
              <w:rPr>
                <w:sz w:val="16"/>
              </w:rPr>
            </w:pPr>
            <w:r w:rsidRPr="00E06C42">
              <w:rPr>
                <w:sz w:val="16"/>
              </w:rPr>
              <w:t>01/11/2016</w:t>
            </w:r>
          </w:p>
        </w:tc>
      </w:tr>
      <w:tr w:rsidR="00E06C42" w:rsidTr="00E06C42">
        <w:trPr>
          <w:trHeight w:val="148"/>
        </w:trPr>
        <w:tc>
          <w:tcPr>
            <w:tcW w:w="3629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2533" w:type="dxa"/>
            <w:vMerge/>
          </w:tcPr>
          <w:p w:rsidR="00391761" w:rsidRDefault="00391761" w:rsidP="00E06C42">
            <w:pPr>
              <w:pStyle w:val="Encabezado"/>
            </w:pPr>
          </w:p>
        </w:tc>
        <w:tc>
          <w:tcPr>
            <w:tcW w:w="1427" w:type="dxa"/>
          </w:tcPr>
          <w:p w:rsidR="00391761" w:rsidRPr="00E06C42" w:rsidRDefault="00391761" w:rsidP="00E06C42">
            <w:pPr>
              <w:pStyle w:val="Encabezado"/>
              <w:rPr>
                <w:b/>
                <w:sz w:val="16"/>
              </w:rPr>
            </w:pPr>
            <w:r w:rsidRPr="00E06C42">
              <w:rPr>
                <w:b/>
                <w:sz w:val="16"/>
              </w:rPr>
              <w:t>PÁGINA:</w:t>
            </w:r>
          </w:p>
        </w:tc>
        <w:tc>
          <w:tcPr>
            <w:tcW w:w="1886" w:type="dxa"/>
          </w:tcPr>
          <w:p w:rsidR="00391761" w:rsidRPr="00E06C42" w:rsidRDefault="00391761" w:rsidP="00E06C42">
            <w:pPr>
              <w:pStyle w:val="Encabezado"/>
              <w:rPr>
                <w:sz w:val="16"/>
              </w:rPr>
            </w:pPr>
            <w:r w:rsidRPr="00E06C42">
              <w:rPr>
                <w:sz w:val="16"/>
              </w:rPr>
              <w:t xml:space="preserve">Página </w:t>
            </w:r>
            <w:r w:rsidRPr="00E06C42">
              <w:rPr>
                <w:b/>
                <w:bCs/>
                <w:sz w:val="16"/>
              </w:rPr>
              <w:fldChar w:fldCharType="begin"/>
            </w:r>
            <w:r w:rsidRPr="00E06C42">
              <w:rPr>
                <w:b/>
                <w:bCs/>
                <w:sz w:val="16"/>
              </w:rPr>
              <w:instrText>PAGE  \* Arabic  \* MERGEFORMAT</w:instrText>
            </w:r>
            <w:r w:rsidRPr="00E06C42">
              <w:rPr>
                <w:b/>
                <w:bCs/>
                <w:sz w:val="16"/>
              </w:rPr>
              <w:fldChar w:fldCharType="separate"/>
            </w:r>
            <w:r w:rsidR="00E06C42" w:rsidRPr="00E06C42">
              <w:rPr>
                <w:b/>
                <w:bCs/>
                <w:noProof/>
                <w:sz w:val="16"/>
              </w:rPr>
              <w:t>1</w:t>
            </w:r>
            <w:r w:rsidRPr="00E06C42">
              <w:rPr>
                <w:b/>
                <w:bCs/>
                <w:sz w:val="16"/>
              </w:rPr>
              <w:fldChar w:fldCharType="end"/>
            </w:r>
            <w:r w:rsidRPr="00E06C42">
              <w:rPr>
                <w:sz w:val="16"/>
              </w:rPr>
              <w:t xml:space="preserve"> de </w:t>
            </w:r>
            <w:r w:rsidRPr="00E06C42">
              <w:rPr>
                <w:b/>
                <w:bCs/>
                <w:sz w:val="16"/>
              </w:rPr>
              <w:fldChar w:fldCharType="begin"/>
            </w:r>
            <w:r w:rsidRPr="00E06C42">
              <w:rPr>
                <w:b/>
                <w:bCs/>
                <w:sz w:val="16"/>
              </w:rPr>
              <w:instrText>NUMPAGES  \* Arabic  \* MERGEFORMAT</w:instrText>
            </w:r>
            <w:r w:rsidRPr="00E06C42">
              <w:rPr>
                <w:b/>
                <w:bCs/>
                <w:sz w:val="16"/>
              </w:rPr>
              <w:fldChar w:fldCharType="separate"/>
            </w:r>
            <w:r w:rsidR="00E06C42" w:rsidRPr="00E06C42">
              <w:rPr>
                <w:b/>
                <w:bCs/>
                <w:noProof/>
                <w:sz w:val="16"/>
              </w:rPr>
              <w:t>1</w:t>
            </w:r>
            <w:r w:rsidRPr="00E06C42">
              <w:rPr>
                <w:b/>
                <w:bCs/>
                <w:sz w:val="16"/>
              </w:rPr>
              <w:fldChar w:fldCharType="end"/>
            </w:r>
          </w:p>
        </w:tc>
      </w:tr>
    </w:tbl>
    <w:p w:rsidR="00391761" w:rsidRPr="00391761" w:rsidRDefault="00391761" w:rsidP="00391761">
      <w:pPr>
        <w:jc w:val="both"/>
        <w:rPr>
          <w:rFonts w:ascii="Times" w:eastAsia="Times New Roman" w:hAnsi="Times" w:cs="Times New Roman"/>
          <w:sz w:val="36"/>
          <w:szCs w:val="20"/>
          <w:lang w:val="es-CO"/>
        </w:rPr>
      </w:pPr>
    </w:p>
    <w:p w:rsidR="006436B1" w:rsidRDefault="006436B1" w:rsidP="006436B1">
      <w:pPr>
        <w:rPr>
          <w:rFonts w:ascii="Times" w:hAnsi="Times"/>
          <w:b/>
        </w:rPr>
      </w:pPr>
    </w:p>
    <w:p w:rsidR="006436B1" w:rsidRPr="006436B1" w:rsidRDefault="006436B1" w:rsidP="006436B1">
      <w:pPr>
        <w:jc w:val="both"/>
        <w:rPr>
          <w:rFonts w:ascii="Times" w:hAnsi="Times"/>
        </w:rPr>
      </w:pPr>
      <w:r w:rsidRPr="006436B1">
        <w:rPr>
          <w:rFonts w:ascii="Times" w:hAnsi="Times"/>
        </w:rPr>
        <w:t>Es política de METROJUNIOR´S SAS, disminuir la vulnerabilidad de la comunidad laboral y sus familias, a los riesgos y consecuencias del consumo de alcohol, drogas y otras sustancias dañinas, a través de una estrategia preventiva y de diagnóstico precoz, con énfasis en la educación y la capacitación.</w:t>
      </w:r>
    </w:p>
    <w:p w:rsidR="006436B1" w:rsidRPr="006436B1" w:rsidRDefault="006436B1" w:rsidP="006436B1">
      <w:pPr>
        <w:jc w:val="both"/>
        <w:rPr>
          <w:rFonts w:ascii="Times" w:hAnsi="Times"/>
        </w:rPr>
      </w:pPr>
      <w:r w:rsidRPr="006436B1">
        <w:rPr>
          <w:rFonts w:ascii="Times" w:hAnsi="Times"/>
        </w:rPr>
        <w:t>ha definido y establecido una política de no consumo de Alcohol, Tabaco y Drogas para prevenir, mejorar,  conservar y preservar el bienestar de sus trabajadores y contratistas,</w:t>
      </w:r>
    </w:p>
    <w:p w:rsidR="006436B1" w:rsidRPr="006436B1" w:rsidRDefault="006436B1" w:rsidP="006436B1">
      <w:pPr>
        <w:jc w:val="both"/>
        <w:rPr>
          <w:rFonts w:ascii="Times" w:hAnsi="Times"/>
        </w:rPr>
      </w:pPr>
      <w:r w:rsidRPr="006436B1">
        <w:rPr>
          <w:rFonts w:ascii="Times" w:hAnsi="Times"/>
        </w:rPr>
        <w:t>mejorando la calidad de vida, que permita un adecuado desempeño y competitividad del</w:t>
      </w:r>
      <w:r>
        <w:rPr>
          <w:rFonts w:ascii="Times" w:hAnsi="Times"/>
        </w:rPr>
        <w:t xml:space="preserve"> </w:t>
      </w:r>
      <w:r w:rsidRPr="006436B1">
        <w:rPr>
          <w:rFonts w:ascii="Times" w:hAnsi="Times"/>
        </w:rPr>
        <w:t>personal y de la compañía, así como el fomento de estilos de vida y trabajos saludables, teniendo en cuenta lo establecido en la</w:t>
      </w:r>
      <w:r>
        <w:rPr>
          <w:rFonts w:ascii="Times" w:hAnsi="Times"/>
        </w:rPr>
        <w:t xml:space="preserve"> </w:t>
      </w:r>
      <w:r w:rsidRPr="006436B1">
        <w:rPr>
          <w:rFonts w:ascii="Times" w:hAnsi="Times"/>
        </w:rPr>
        <w:t>Resolución 1075 de marzo 24 de 1992, Resolución  4225 mayo 29 de 1992, Circular 038 de 2010, entre otras aplicables.</w:t>
      </w:r>
    </w:p>
    <w:p w:rsidR="006436B1" w:rsidRDefault="006436B1" w:rsidP="006436B1">
      <w:pPr>
        <w:jc w:val="both"/>
        <w:rPr>
          <w:rFonts w:ascii="Times" w:hAnsi="Times"/>
          <w:b/>
        </w:rPr>
      </w:pPr>
    </w:p>
    <w:p w:rsidR="006436B1" w:rsidRPr="0037472A" w:rsidRDefault="006436B1" w:rsidP="006436B1">
      <w:pPr>
        <w:jc w:val="both"/>
        <w:rPr>
          <w:rFonts w:ascii="Times" w:hAnsi="Times"/>
        </w:rPr>
      </w:pPr>
      <w:r w:rsidRPr="0037472A">
        <w:rPr>
          <w:rFonts w:ascii="Times" w:hAnsi="Times"/>
        </w:rPr>
        <w:t>Es política  mantener ambientes sanos o lugares de trabajo óptimos que permita alcanzar los más altos estándares en Seguridad, y Productividad.</w:t>
      </w:r>
    </w:p>
    <w:p w:rsidR="006436B1" w:rsidRPr="0037472A" w:rsidRDefault="006436B1" w:rsidP="006436B1">
      <w:pPr>
        <w:jc w:val="both"/>
        <w:rPr>
          <w:rFonts w:ascii="Times" w:hAnsi="Times"/>
        </w:rPr>
      </w:pPr>
    </w:p>
    <w:p w:rsidR="006436B1" w:rsidRPr="0037472A" w:rsidRDefault="006436B1" w:rsidP="006436B1">
      <w:pPr>
        <w:jc w:val="both"/>
        <w:rPr>
          <w:rFonts w:ascii="Times" w:hAnsi="Times"/>
        </w:rPr>
      </w:pPr>
      <w:r w:rsidRPr="0037472A">
        <w:rPr>
          <w:rFonts w:ascii="Times" w:hAnsi="Times"/>
        </w:rPr>
        <w:t>La compañía es consciente que el alcoholismo, el tabaquismo, la drogadicción y el abuso de sustancias alucinógenas y enervantes por parte de los contratistas y sus trabajadores, tienen efectos adversos en la capacidad de desempeño y afectan considerablemente la salud seguridad, eficiencia y  productividad de otros trabajadores y de la compañía en general.</w:t>
      </w:r>
    </w:p>
    <w:p w:rsidR="006436B1" w:rsidRPr="0037472A" w:rsidRDefault="006436B1" w:rsidP="006436B1">
      <w:pPr>
        <w:jc w:val="both"/>
        <w:rPr>
          <w:rFonts w:ascii="Times" w:hAnsi="Times"/>
        </w:rPr>
      </w:pPr>
    </w:p>
    <w:p w:rsidR="006436B1" w:rsidRPr="0037472A" w:rsidRDefault="006436B1" w:rsidP="006436B1">
      <w:pPr>
        <w:pStyle w:val="Prrafodelista"/>
        <w:numPr>
          <w:ilvl w:val="0"/>
          <w:numId w:val="1"/>
        </w:numPr>
        <w:jc w:val="both"/>
        <w:rPr>
          <w:rFonts w:ascii="Times" w:hAnsi="Times"/>
        </w:rPr>
      </w:pPr>
      <w:r w:rsidRPr="0037472A">
        <w:rPr>
          <w:rFonts w:ascii="Times" w:hAnsi="Times"/>
        </w:rPr>
        <w:t>La indebida utilización de medicamentos formulados, posesión, distribución,  venta de drogas no recetadas o de sustancias alucinógenas y enervantes, consumo de alcohol y tabaco en el desarrollo del trabajo, dentro de las  instalaciones de METROJUNIOR´S S.A.S., u operación vehículos, durante la prestación de servicios a terceros, está estrictamente prohibido y es causal de terminación de los contratos suscritos con los contratistas.</w:t>
      </w:r>
    </w:p>
    <w:p w:rsidR="006436B1" w:rsidRPr="0037472A" w:rsidRDefault="006436B1" w:rsidP="006436B1">
      <w:pPr>
        <w:pStyle w:val="Prrafodelista"/>
        <w:numPr>
          <w:ilvl w:val="0"/>
          <w:numId w:val="1"/>
        </w:numPr>
        <w:jc w:val="both"/>
        <w:rPr>
          <w:rFonts w:ascii="Times" w:hAnsi="Times"/>
        </w:rPr>
      </w:pPr>
      <w:r w:rsidRPr="0037472A">
        <w:rPr>
          <w:rFonts w:ascii="Times" w:hAnsi="Times"/>
        </w:rPr>
        <w:t>Presentarse a trabajar bajo el efecto del alcohol, drogas o sustancias alucinógenas y enervantes o que creen dependencia, está estrictamente prohibido y constituye justa causa para terminar la relación contractual con el  contratista.</w:t>
      </w:r>
    </w:p>
    <w:p w:rsidR="006436B1" w:rsidRPr="0037472A" w:rsidRDefault="006436B1" w:rsidP="006436B1">
      <w:pPr>
        <w:jc w:val="both"/>
        <w:rPr>
          <w:rFonts w:ascii="Times" w:hAnsi="Times"/>
        </w:rPr>
      </w:pPr>
    </w:p>
    <w:p w:rsidR="006436B1" w:rsidRDefault="006436B1" w:rsidP="0037472A">
      <w:pPr>
        <w:pStyle w:val="Prrafodelista"/>
        <w:numPr>
          <w:ilvl w:val="0"/>
          <w:numId w:val="1"/>
        </w:numPr>
        <w:jc w:val="both"/>
        <w:rPr>
          <w:rFonts w:ascii="Times" w:hAnsi="Times"/>
        </w:rPr>
      </w:pPr>
      <w:r w:rsidRPr="0037472A">
        <w:rPr>
          <w:rFonts w:ascii="Times" w:hAnsi="Times"/>
        </w:rPr>
        <w:t>La compañía podrá realizar pruebas de alcohol y drogas directamente o a través de terceros, cuando existan razones para sospechar de abuso de alcohol y drogas, cuando sus trabajadores y contratistas estén involucrados en un incidente y deba descartarse una relación con uso o abuso de estos</w:t>
      </w:r>
      <w:r w:rsidR="0037472A">
        <w:rPr>
          <w:rFonts w:ascii="Times" w:hAnsi="Times"/>
        </w:rPr>
        <w:t>, s</w:t>
      </w:r>
      <w:r w:rsidRPr="0037472A">
        <w:rPr>
          <w:rFonts w:ascii="Times" w:hAnsi="Times"/>
        </w:rPr>
        <w:t>iendo el resultado de “CERO” tolerancia para la operación en nuestra Empresa.</w:t>
      </w:r>
    </w:p>
    <w:p w:rsidR="0037472A" w:rsidRPr="0037472A" w:rsidRDefault="0037472A" w:rsidP="0037472A">
      <w:pPr>
        <w:jc w:val="both"/>
        <w:rPr>
          <w:rFonts w:ascii="Times" w:hAnsi="Times"/>
        </w:rPr>
      </w:pPr>
    </w:p>
    <w:p w:rsidR="006436B1" w:rsidRPr="0037472A" w:rsidRDefault="006436B1" w:rsidP="006436B1">
      <w:pPr>
        <w:pStyle w:val="Prrafodelista"/>
        <w:numPr>
          <w:ilvl w:val="0"/>
          <w:numId w:val="1"/>
        </w:numPr>
        <w:jc w:val="both"/>
        <w:rPr>
          <w:rFonts w:ascii="Times" w:hAnsi="Times"/>
        </w:rPr>
      </w:pPr>
      <w:r w:rsidRPr="0037472A">
        <w:rPr>
          <w:rFonts w:ascii="Times" w:hAnsi="Times"/>
        </w:rPr>
        <w:t>Los contratistas y sus trabajadores que consideren tener problemas de dependencia de alcohol o drogas, deben buscar asesoría y seguir un tratamiento, en forma inmediata y apropiada, antes que el problema se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convierta en un obstáculo para un adecuado desempeño.</w:t>
      </w:r>
    </w:p>
    <w:p w:rsidR="006436B1" w:rsidRPr="0037472A" w:rsidRDefault="006436B1" w:rsidP="006436B1">
      <w:pPr>
        <w:jc w:val="both"/>
        <w:rPr>
          <w:rFonts w:ascii="Times" w:hAnsi="Times"/>
        </w:rPr>
      </w:pPr>
    </w:p>
    <w:p w:rsidR="006436B1" w:rsidRPr="0037472A" w:rsidRDefault="006436B1" w:rsidP="006436B1">
      <w:pPr>
        <w:pStyle w:val="Prrafodelista"/>
        <w:numPr>
          <w:ilvl w:val="0"/>
          <w:numId w:val="1"/>
        </w:numPr>
        <w:jc w:val="both"/>
        <w:rPr>
          <w:rFonts w:ascii="Times" w:hAnsi="Times"/>
        </w:rPr>
      </w:pPr>
      <w:r w:rsidRPr="0037472A">
        <w:rPr>
          <w:rFonts w:ascii="Times" w:hAnsi="Times"/>
        </w:rPr>
        <w:lastRenderedPageBreak/>
        <w:t>Para cumplir con este propósito  METROJUNIOR´S S.A.S.,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ha designado el Recurso Humano y financiero necesario para dar cumplimiento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a esta política, promoviendo actividades de sensibilización y de capacitación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para los trabajadores y contratistas, que buscan la creación de hábitos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saludables en relación al daño que causa el consumo de las sustancias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mencionadas y espera por su parte, la colaboración de todos los trabajadores y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 xml:space="preserve">contratistas participando activamente en los 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>programas de sensibilización y</w:t>
      </w:r>
      <w:r w:rsidR="0037472A" w:rsidRPr="0037472A">
        <w:rPr>
          <w:rFonts w:ascii="Times" w:hAnsi="Times"/>
        </w:rPr>
        <w:t xml:space="preserve"> </w:t>
      </w:r>
      <w:r w:rsidRPr="0037472A">
        <w:rPr>
          <w:rFonts w:ascii="Times" w:hAnsi="Times"/>
        </w:rPr>
        <w:t xml:space="preserve">capacitación. </w:t>
      </w:r>
    </w:p>
    <w:p w:rsidR="006436B1" w:rsidRPr="0037472A" w:rsidRDefault="006436B1" w:rsidP="006436B1">
      <w:pPr>
        <w:jc w:val="both"/>
        <w:rPr>
          <w:rFonts w:ascii="Times" w:hAnsi="Times"/>
        </w:rPr>
      </w:pPr>
    </w:p>
    <w:p w:rsidR="006436B1" w:rsidRDefault="006436B1" w:rsidP="006436B1">
      <w:pPr>
        <w:jc w:val="both"/>
        <w:rPr>
          <w:rFonts w:ascii="Times" w:hAnsi="Times"/>
          <w:b/>
        </w:rPr>
      </w:pPr>
    </w:p>
    <w:p w:rsidR="00E06C42" w:rsidRPr="00E06C42" w:rsidRDefault="00E06C42" w:rsidP="006436B1">
      <w:pPr>
        <w:jc w:val="both"/>
        <w:rPr>
          <w:rFonts w:ascii="Times" w:hAnsi="Times"/>
          <w:b/>
        </w:rPr>
      </w:pPr>
      <w:r w:rsidRPr="00E06C42">
        <w:rPr>
          <w:rFonts w:ascii="Times" w:hAnsi="Times"/>
          <w:b/>
        </w:rPr>
        <w:t>GERENCIA GENERAL</w:t>
      </w:r>
    </w:p>
    <w:p w:rsidR="00E06C42" w:rsidRPr="00E06C42" w:rsidRDefault="00E06C42" w:rsidP="006436B1">
      <w:pPr>
        <w:jc w:val="both"/>
        <w:rPr>
          <w:rFonts w:ascii="Times" w:hAnsi="Times"/>
          <w:b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6436B1">
      <w:pPr>
        <w:jc w:val="both"/>
        <w:rPr>
          <w:rFonts w:ascii="Times" w:hAnsi="Times"/>
        </w:rPr>
      </w:pPr>
    </w:p>
    <w:p w:rsidR="00E06C42" w:rsidRPr="00E06C42" w:rsidRDefault="00E06C42" w:rsidP="00E06C42">
      <w:pPr>
        <w:rPr>
          <w:rFonts w:ascii="Times" w:hAnsi="Times"/>
        </w:rPr>
      </w:pPr>
    </w:p>
    <w:p w:rsidR="00E06C42" w:rsidRPr="00E06C42" w:rsidRDefault="00E06C42" w:rsidP="00E06C42">
      <w:pPr>
        <w:rPr>
          <w:rFonts w:ascii="Times" w:hAnsi="Times"/>
        </w:rPr>
      </w:pPr>
    </w:p>
    <w:p w:rsidR="00391761" w:rsidRPr="00391761" w:rsidRDefault="00391761" w:rsidP="00391761">
      <w:pPr>
        <w:jc w:val="center"/>
        <w:rPr>
          <w:b/>
          <w:sz w:val="28"/>
          <w:szCs w:val="28"/>
        </w:rPr>
      </w:pPr>
    </w:p>
    <w:sectPr w:rsidR="00391761" w:rsidRPr="00391761" w:rsidSect="00354C21">
      <w:pgSz w:w="12240" w:h="15840"/>
      <w:pgMar w:top="1134" w:right="851" w:bottom="1418" w:left="851" w:header="1134" w:footer="113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87C71"/>
    <w:multiLevelType w:val="hybridMultilevel"/>
    <w:tmpl w:val="C0C4C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61"/>
    <w:rsid w:val="000B1829"/>
    <w:rsid w:val="0031088B"/>
    <w:rsid w:val="00354C21"/>
    <w:rsid w:val="0037472A"/>
    <w:rsid w:val="00391761"/>
    <w:rsid w:val="006436B1"/>
    <w:rsid w:val="00A628B5"/>
    <w:rsid w:val="00E0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6970021-B5D7-4DAE-97C3-ADD3D81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176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39176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C4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C4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4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Asdrubal</cp:lastModifiedBy>
  <cp:revision>2</cp:revision>
  <cp:lastPrinted>2017-05-30T14:56:00Z</cp:lastPrinted>
  <dcterms:created xsi:type="dcterms:W3CDTF">2019-07-04T20:23:00Z</dcterms:created>
  <dcterms:modified xsi:type="dcterms:W3CDTF">2019-07-04T20:23:00Z</dcterms:modified>
</cp:coreProperties>
</file>