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9A6D"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OBJETIVO: </w:t>
      </w:r>
    </w:p>
    <w:p w14:paraId="0F521BE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Identificar, evaluar prevenir y controlar los factores de riesgo psicosociales que se presentan en el desarrollo laboral de los colaboradores con el fin de mitigar su impacto en la salud </w:t>
      </w:r>
    </w:p>
    <w:p w14:paraId="5C04E0E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ALCANCE:</w:t>
      </w:r>
    </w:p>
    <w:p w14:paraId="4235E1E7"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Este programa se aplica a todas las actividades de diagnóstico, promoción y prevención de las condiciones de salud psicosocial que puedan intervenir en el ambiente laboral de los colaboradores </w:t>
      </w:r>
    </w:p>
    <w:p w14:paraId="282833C9"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REFERENCIAS NORMATIVAS </w:t>
      </w:r>
    </w:p>
    <w:p w14:paraId="295769D5" w14:textId="459C7B6E"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La Resolución 2646 de 2008, Ley 1010 DE 2006, resolución 2404 del julio 2019</w:t>
      </w:r>
      <w:r w:rsidR="008E5D8B">
        <w:rPr>
          <w:rFonts w:ascii="Arial" w:eastAsia="Arial" w:hAnsi="Arial" w:cs="Arial"/>
          <w:sz w:val="24"/>
          <w:szCs w:val="24"/>
        </w:rPr>
        <w:t>.</w:t>
      </w:r>
    </w:p>
    <w:p w14:paraId="1983D29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DEFINICIONES </w:t>
      </w:r>
    </w:p>
    <w:p w14:paraId="7133C0C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De acuerdo con el decreto 1072del 2015, libro2, titulo4, capítulo VI Articulo2.2.4.6.2, las estipuladas en la norma ISO 9000ultma versión, las especificaciones de la resolución 2646 de 2006 y en la ley 1010 de 2006.,</w:t>
      </w:r>
    </w:p>
    <w:p w14:paraId="69767F48"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a) Trabajo:</w:t>
      </w:r>
      <w:r w:rsidRPr="00C74CEB">
        <w:rPr>
          <w:rFonts w:ascii="Arial" w:eastAsia="Arial" w:hAnsi="Arial" w:cs="Arial"/>
          <w:sz w:val="24"/>
          <w:szCs w:val="24"/>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01FDDEF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b) Riesgo:</w:t>
      </w:r>
      <w:r w:rsidRPr="00C74CEB">
        <w:rPr>
          <w:rFonts w:ascii="Arial" w:eastAsia="Arial" w:hAnsi="Arial" w:cs="Arial"/>
          <w:sz w:val="24"/>
          <w:szCs w:val="24"/>
        </w:rPr>
        <w:t xml:space="preserve"> Probabilidad de ocurrencia de una enfermedad, lesión o daño en un grupo dado.</w:t>
      </w:r>
    </w:p>
    <w:p w14:paraId="035FCCEE"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c) Factor de riesgo:</w:t>
      </w:r>
      <w:r w:rsidRPr="00C74CEB">
        <w:rPr>
          <w:rFonts w:ascii="Arial" w:eastAsia="Arial" w:hAnsi="Arial" w:cs="Arial"/>
          <w:sz w:val="24"/>
          <w:szCs w:val="24"/>
        </w:rPr>
        <w:t xml:space="preserve"> Posible causa o condición que puede ser responsable de la enfermedad, lesión o daño.</w:t>
      </w:r>
    </w:p>
    <w:p w14:paraId="0D456B1B"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d) Factores de riesgo psicosociales</w:t>
      </w:r>
      <w:r w:rsidRPr="00C74CEB">
        <w:rPr>
          <w:rFonts w:ascii="Arial" w:eastAsia="Arial" w:hAnsi="Arial" w:cs="Arial"/>
          <w:sz w:val="24"/>
          <w:szCs w:val="24"/>
        </w:rPr>
        <w:t>: Condiciones psicosociales cuya identificación y evaluación muestra efectos negativos en la salud de los trabajadores o en el trabajo.</w:t>
      </w:r>
    </w:p>
    <w:p w14:paraId="3B2AAE7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e) Factor protector psicosocial:</w:t>
      </w:r>
      <w:r w:rsidRPr="00C74CEB">
        <w:rPr>
          <w:rFonts w:ascii="Arial" w:eastAsia="Arial" w:hAnsi="Arial" w:cs="Arial"/>
          <w:sz w:val="24"/>
          <w:szCs w:val="24"/>
        </w:rPr>
        <w:t xml:space="preserve"> Condiciones de trabajo que promueven la salud y el bienestar del trabajador.</w:t>
      </w:r>
    </w:p>
    <w:p w14:paraId="6F73B04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lastRenderedPageBreak/>
        <w:t>f) Condiciones de trabajo:</w:t>
      </w:r>
      <w:r w:rsidRPr="00C74CEB">
        <w:rPr>
          <w:rFonts w:ascii="Arial" w:eastAsia="Arial" w:hAnsi="Arial" w:cs="Arial"/>
          <w:sz w:val="24"/>
          <w:szCs w:val="24"/>
        </w:rPr>
        <w:t xml:space="preserve"> Todos los aspectos intralaborales, extralaborales e individuales que están presentes al realizar una labor encaminada a la producción de bienes, servicios y/o conocimientos.</w:t>
      </w:r>
    </w:p>
    <w:p w14:paraId="443E445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g) Estrés:</w:t>
      </w:r>
      <w:r w:rsidRPr="00C74CEB">
        <w:rPr>
          <w:rFonts w:ascii="Arial" w:eastAsia="Arial" w:hAnsi="Arial" w:cs="Arial"/>
          <w:sz w:val="24"/>
          <w:szCs w:val="24"/>
        </w:rPr>
        <w:t xml:space="preserve"> Respuesta de un trabajador tanto a nivel fisiológico, psicológico como conductual, en su intento de adaptarse a las demandas resultantes de la interacción de sus condiciones individuales, intralaborales y extralaborales.</w:t>
      </w:r>
    </w:p>
    <w:p w14:paraId="23D0D8C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h) Carga física:</w:t>
      </w:r>
      <w:r w:rsidRPr="00C74CEB">
        <w:rPr>
          <w:rFonts w:ascii="Arial" w:eastAsia="Arial" w:hAnsi="Arial" w:cs="Arial"/>
          <w:sz w:val="24"/>
          <w:szCs w:val="24"/>
        </w:rPr>
        <w:t xml:space="preserve"> Esfuerzo fisiológico que demanda la ocupación, generalmente se da en términos de postura corporal, fuerza, movimiento y traslado de cargas e implica el uso de los componentes del sistema osteomuscular, cardiovascular y metabólico.</w:t>
      </w:r>
    </w:p>
    <w:p w14:paraId="1E195151"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i) Carga mental:</w:t>
      </w:r>
      <w:r w:rsidRPr="00C74CEB">
        <w:rPr>
          <w:rFonts w:ascii="Arial" w:eastAsia="Arial" w:hAnsi="Arial" w:cs="Arial"/>
          <w:sz w:val="24"/>
          <w:szCs w:val="24"/>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C51500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j) Carga psíquica o emocional:</w:t>
      </w:r>
      <w:r w:rsidRPr="00C74CEB">
        <w:rPr>
          <w:rFonts w:ascii="Arial" w:eastAsia="Arial" w:hAnsi="Arial" w:cs="Arial"/>
          <w:sz w:val="24"/>
          <w:szCs w:val="24"/>
        </w:rPr>
        <w:t xml:space="preserve"> Exigencias psicoafectivas de las tareas o de los procesos propios del rol que desempeña el trabajador en su labor y/o de las condiciones en que debe realizarlo.</w:t>
      </w:r>
    </w:p>
    <w:p w14:paraId="667871A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k) Carga de trabajo:</w:t>
      </w:r>
      <w:r w:rsidRPr="00C74CEB">
        <w:rPr>
          <w:rFonts w:ascii="Arial" w:eastAsia="Arial" w:hAnsi="Arial" w:cs="Arial"/>
          <w:sz w:val="24"/>
          <w:szCs w:val="24"/>
        </w:rPr>
        <w:t xml:space="preserve"> Tensiones resultado de la convergencia de las cargas física, mental y emocional.</w:t>
      </w:r>
    </w:p>
    <w:p w14:paraId="35AC6A8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l) Acoso laboral:</w:t>
      </w:r>
      <w:r w:rsidRPr="00C74CEB">
        <w:rPr>
          <w:rFonts w:ascii="Arial" w:eastAsia="Arial" w:hAnsi="Arial" w:cs="Arial"/>
          <w:sz w:val="24"/>
          <w:szCs w:val="24"/>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27FC7F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m) Efectos en la salud:</w:t>
      </w:r>
      <w:r w:rsidRPr="00C74CEB">
        <w:rPr>
          <w:rFonts w:ascii="Arial" w:eastAsia="Arial" w:hAnsi="Arial" w:cs="Arial"/>
          <w:sz w:val="24"/>
          <w:szCs w:val="24"/>
        </w:rPr>
        <w:t xml:space="preserve"> Alteraciones que pueden manifestarse mediante síntomas subjetivos o signos, ya sea en forma aislada o formando parte de un cuadro o diagnóstico clínico.</w:t>
      </w:r>
    </w:p>
    <w:p w14:paraId="6B26F91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n) Efectos en el trabajo:</w:t>
      </w:r>
      <w:r w:rsidRPr="00C74CEB">
        <w:rPr>
          <w:rFonts w:ascii="Arial" w:eastAsia="Arial" w:hAnsi="Arial" w:cs="Arial"/>
          <w:sz w:val="24"/>
          <w:szCs w:val="24"/>
        </w:rPr>
        <w:t xml:space="preserve"> Consecuencias en el medio laboral y en los resultados del trabajo. Estas incluyen el ausentismo, la accidentalidad, la rotación de mano de obra, la desmotivación, el deterioro del rendimiento, el clima laboral negativo, entre otros.</w:t>
      </w:r>
    </w:p>
    <w:p w14:paraId="512DCCB4"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lastRenderedPageBreak/>
        <w:t>ñ) Evaluación objetiva:</w:t>
      </w:r>
      <w:r w:rsidRPr="00C74CEB">
        <w:rPr>
          <w:rFonts w:ascii="Arial" w:eastAsia="Arial" w:hAnsi="Arial" w:cs="Arial"/>
          <w:sz w:val="24"/>
          <w:szCs w:val="24"/>
        </w:rPr>
        <w:t xml:space="preserve"> Valoración de las condiciones de trabajo y salud realizada por un experto, utilizando criterios técnicos y metodologías validadas en el país.</w:t>
      </w:r>
    </w:p>
    <w:p w14:paraId="6512F2D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 xml:space="preserve">o) Evaluación </w:t>
      </w:r>
      <w:r w:rsidRPr="00C74CEB">
        <w:rPr>
          <w:rFonts w:ascii="Arial" w:eastAsia="Arial" w:hAnsi="Arial" w:cs="Arial"/>
          <w:sz w:val="24"/>
          <w:szCs w:val="24"/>
        </w:rPr>
        <w:t>subjetiva</w:t>
      </w:r>
      <w:r w:rsidRPr="00C74CEB">
        <w:rPr>
          <w:rFonts w:ascii="Arial" w:eastAsia="Arial" w:hAnsi="Arial" w:cs="Arial"/>
          <w:b/>
          <w:sz w:val="24"/>
          <w:szCs w:val="24"/>
        </w:rPr>
        <w:t>:</w:t>
      </w:r>
      <w:r w:rsidRPr="00C74CEB">
        <w:rPr>
          <w:rFonts w:ascii="Arial" w:eastAsia="Arial" w:hAnsi="Arial" w:cs="Arial"/>
          <w:sz w:val="24"/>
          <w:szCs w:val="24"/>
        </w:rPr>
        <w:t xml:space="preserve"> Valoración de las condiciones de trabajo y salud, a partir de la percepción y vivencia del trabajador.</w:t>
      </w:r>
    </w:p>
    <w:p w14:paraId="22FA75E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p) Experto:</w:t>
      </w:r>
      <w:r w:rsidRPr="00C74CEB">
        <w:rPr>
          <w:rFonts w:ascii="Arial" w:eastAsia="Arial" w:hAnsi="Arial" w:cs="Arial"/>
          <w:sz w:val="24"/>
          <w:szCs w:val="24"/>
        </w:rPr>
        <w:t xml:space="preserve"> Psicólogo con posgrado en salud ocupacional, con licencia vigente de prestación de servicios en psicología ocupacional.</w:t>
      </w:r>
    </w:p>
    <w:p w14:paraId="7D89CBF2" w14:textId="77777777" w:rsidR="006865D2" w:rsidRPr="00C74CEB" w:rsidRDefault="006865D2">
      <w:pPr>
        <w:ind w:left="360"/>
        <w:jc w:val="both"/>
        <w:rPr>
          <w:rFonts w:ascii="Arial" w:eastAsia="Arial" w:hAnsi="Arial" w:cs="Arial"/>
          <w:sz w:val="24"/>
          <w:szCs w:val="24"/>
        </w:rPr>
      </w:pPr>
    </w:p>
    <w:p w14:paraId="2A62097D" w14:textId="77777777" w:rsidR="006865D2" w:rsidRPr="00C74CEB" w:rsidRDefault="00F50145">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REALIZACIÓN </w:t>
      </w:r>
    </w:p>
    <w:p w14:paraId="7FD94E22" w14:textId="4794B433" w:rsidR="006865D2" w:rsidRPr="00C74CEB" w:rsidRDefault="00C74CEB" w:rsidP="00C74CEB">
      <w:pPr>
        <w:ind w:left="142" w:right="-234"/>
        <w:jc w:val="both"/>
        <w:rPr>
          <w:rFonts w:ascii="Arial" w:eastAsia="Arial" w:hAnsi="Arial" w:cs="Arial"/>
          <w:b/>
          <w:color w:val="000000"/>
          <w:sz w:val="24"/>
          <w:szCs w:val="24"/>
        </w:rPr>
      </w:pPr>
      <w:r>
        <w:rPr>
          <w:rFonts w:ascii="Arial" w:eastAsia="Arial" w:hAnsi="Arial" w:cs="Arial"/>
          <w:b/>
          <w:sz w:val="24"/>
          <w:szCs w:val="24"/>
        </w:rPr>
        <w:t xml:space="preserve">5.1 </w:t>
      </w:r>
      <w:r w:rsidR="00F50145" w:rsidRPr="00C74CEB">
        <w:rPr>
          <w:rFonts w:ascii="Arial" w:eastAsia="Arial" w:hAnsi="Arial" w:cs="Arial"/>
          <w:b/>
          <w:sz w:val="24"/>
          <w:szCs w:val="24"/>
        </w:rPr>
        <w:t>IDENTIFICACIÓN</w:t>
      </w:r>
      <w:r w:rsidR="00F50145" w:rsidRPr="00C74CEB">
        <w:rPr>
          <w:rFonts w:ascii="Arial" w:eastAsia="Arial" w:hAnsi="Arial" w:cs="Arial"/>
          <w:b/>
          <w:color w:val="000000"/>
          <w:sz w:val="24"/>
          <w:szCs w:val="24"/>
        </w:rPr>
        <w:t xml:space="preserve"> Y EVALUACIÓN DE LOS FACTORES PSICOSOCIALES EN EL TRABAJO Y SUS EFECTOS</w:t>
      </w:r>
    </w:p>
    <w:p w14:paraId="1FC16EA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Es importante tener clara la definición de la resolución 2646, 2008 y resolución 2404 del julio 2019</w:t>
      </w:r>
    </w:p>
    <w:p w14:paraId="5ABDF6B2" w14:textId="3783F99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color w:val="000000"/>
          <w:sz w:val="24"/>
          <w:szCs w:val="24"/>
        </w:rPr>
        <w:t xml:space="preserve">Instrumentos de la </w:t>
      </w:r>
      <w:r w:rsidRPr="00C74CEB">
        <w:rPr>
          <w:rFonts w:ascii="Arial" w:eastAsia="Arial" w:hAnsi="Arial" w:cs="Arial"/>
          <w:sz w:val="24"/>
          <w:szCs w:val="24"/>
        </w:rPr>
        <w:t>batería para la evaluación riesgo psicosocial</w:t>
      </w:r>
      <w:r w:rsidR="009627CF">
        <w:rPr>
          <w:rFonts w:ascii="Arial" w:eastAsia="Arial" w:hAnsi="Arial" w:cs="Arial"/>
          <w:sz w:val="24"/>
          <w:szCs w:val="24"/>
        </w:rPr>
        <w:t>.</w:t>
      </w:r>
    </w:p>
    <w:p w14:paraId="44ADED32" w14:textId="5D0AE5A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intralaboral</w:t>
      </w:r>
      <w:r w:rsidR="009627CF">
        <w:rPr>
          <w:rFonts w:ascii="Arial" w:eastAsia="Arial" w:hAnsi="Arial" w:cs="Arial"/>
          <w:sz w:val="24"/>
          <w:szCs w:val="24"/>
        </w:rPr>
        <w:t>.</w:t>
      </w:r>
    </w:p>
    <w:p w14:paraId="5F716B88" w14:textId="061922AB"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extralaboral</w:t>
      </w:r>
      <w:r w:rsidR="009627CF">
        <w:rPr>
          <w:rFonts w:ascii="Arial" w:eastAsia="Arial" w:hAnsi="Arial" w:cs="Arial"/>
          <w:sz w:val="24"/>
          <w:szCs w:val="24"/>
        </w:rPr>
        <w:t>.</w:t>
      </w:r>
    </w:p>
    <w:p w14:paraId="1D372E7A" w14:textId="0D53BC49"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para evaluación de estrés</w:t>
      </w:r>
      <w:r w:rsidR="009627CF">
        <w:rPr>
          <w:rFonts w:ascii="Arial" w:eastAsia="Arial" w:hAnsi="Arial" w:cs="Arial"/>
          <w:sz w:val="24"/>
          <w:szCs w:val="24"/>
        </w:rPr>
        <w:t>.</w:t>
      </w:r>
    </w:p>
    <w:p w14:paraId="68FED1A3" w14:textId="606AFEE8"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Ficha de datos (sociodemográficos-Ocupacionales)</w:t>
      </w:r>
      <w:r w:rsidR="009627CF">
        <w:rPr>
          <w:rFonts w:ascii="Arial" w:eastAsia="Arial" w:hAnsi="Arial" w:cs="Arial"/>
          <w:sz w:val="24"/>
          <w:szCs w:val="24"/>
        </w:rPr>
        <w:t>.</w:t>
      </w:r>
    </w:p>
    <w:p w14:paraId="052B8D95" w14:textId="73B672A7" w:rsidR="006865D2" w:rsidRPr="00C74CEB" w:rsidRDefault="00F50145" w:rsidP="00C74CEB">
      <w:pPr>
        <w:ind w:left="142" w:right="-234"/>
        <w:jc w:val="both"/>
        <w:rPr>
          <w:rFonts w:ascii="Arial" w:eastAsia="Arial" w:hAnsi="Arial" w:cs="Arial"/>
          <w:color w:val="000000"/>
          <w:sz w:val="24"/>
          <w:szCs w:val="24"/>
        </w:rPr>
      </w:pPr>
      <w:r w:rsidRPr="00C74CEB">
        <w:rPr>
          <w:rFonts w:ascii="Arial" w:eastAsia="Arial" w:hAnsi="Arial" w:cs="Arial"/>
          <w:color w:val="000000"/>
          <w:sz w:val="24"/>
          <w:szCs w:val="24"/>
        </w:rPr>
        <w:t xml:space="preserve"> </w:t>
      </w:r>
      <w:r w:rsidR="00C74CEB" w:rsidRPr="00C74CEB">
        <w:rPr>
          <w:rFonts w:ascii="Arial" w:eastAsia="Arial" w:hAnsi="Arial" w:cs="Arial"/>
          <w:color w:val="000000"/>
          <w:sz w:val="24"/>
          <w:szCs w:val="24"/>
        </w:rPr>
        <w:t>La aplicación de los cuestionarios debe</w:t>
      </w:r>
      <w:r w:rsidRPr="00C74CEB">
        <w:rPr>
          <w:rFonts w:ascii="Arial" w:eastAsia="Arial" w:hAnsi="Arial" w:cs="Arial"/>
          <w:color w:val="000000"/>
          <w:sz w:val="24"/>
          <w:szCs w:val="24"/>
        </w:rPr>
        <w:t xml:space="preserve"> realizarse garantizando la reserva y la confidencialidad de la información, siguiendo las instrucciones y condiciones establecidas en los manuales de usuario de cada uno de los cuestionarios de la batería. No pueden </w:t>
      </w:r>
      <w:r w:rsidRPr="00C74CEB">
        <w:rPr>
          <w:rFonts w:ascii="Arial" w:eastAsia="Arial" w:hAnsi="Arial" w:cs="Arial"/>
          <w:sz w:val="24"/>
          <w:szCs w:val="24"/>
        </w:rPr>
        <w:t>realizarse</w:t>
      </w:r>
      <w:r w:rsidRPr="00C74CEB">
        <w:rPr>
          <w:rFonts w:ascii="Arial" w:eastAsia="Arial" w:hAnsi="Arial" w:cs="Arial"/>
          <w:color w:val="000000"/>
          <w:sz w:val="24"/>
          <w:szCs w:val="24"/>
        </w:rPr>
        <w:t xml:space="preserve"> modificaciones de forma ni de fondo a dichos cuestionarios con el fin de no afectar la validez y confiabilidad de los instrumentos. </w:t>
      </w:r>
    </w:p>
    <w:p w14:paraId="72E33AC2" w14:textId="77777777" w:rsidR="006865D2" w:rsidRPr="00C74CEB" w:rsidRDefault="006865D2">
      <w:pPr>
        <w:pBdr>
          <w:top w:val="nil"/>
          <w:left w:val="nil"/>
          <w:bottom w:val="nil"/>
          <w:right w:val="nil"/>
          <w:between w:val="nil"/>
        </w:pBdr>
        <w:spacing w:after="0" w:line="240" w:lineRule="auto"/>
        <w:rPr>
          <w:rFonts w:ascii="Arial" w:eastAsia="Arial" w:hAnsi="Arial" w:cs="Arial"/>
          <w:color w:val="000000"/>
          <w:sz w:val="24"/>
          <w:szCs w:val="24"/>
        </w:rPr>
      </w:pPr>
    </w:p>
    <w:tbl>
      <w:tblPr>
        <w:tblStyle w:val="a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5050"/>
      </w:tblGrid>
      <w:tr w:rsidR="006865D2" w:rsidRPr="00C74CEB" w14:paraId="219726D0" w14:textId="77777777" w:rsidTr="00C74CEB">
        <w:tc>
          <w:tcPr>
            <w:tcW w:w="4022" w:type="dxa"/>
          </w:tcPr>
          <w:p w14:paraId="12521612" w14:textId="0BF07A24"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 xml:space="preserve">FACTORES </w:t>
            </w:r>
            <w:r w:rsidR="00C74CEB" w:rsidRPr="00C74CEB">
              <w:rPr>
                <w:rFonts w:ascii="Arial" w:eastAsia="Arial" w:hAnsi="Arial" w:cs="Arial"/>
                <w:b/>
                <w:color w:val="000000"/>
                <w:sz w:val="24"/>
                <w:szCs w:val="24"/>
              </w:rPr>
              <w:t>PSICOSOCIALES INTRALABORALES</w:t>
            </w:r>
            <w:r w:rsidRPr="00C74CEB">
              <w:rPr>
                <w:rFonts w:ascii="Arial" w:eastAsia="Arial" w:hAnsi="Arial" w:cs="Arial"/>
                <w:b/>
                <w:color w:val="000000"/>
                <w:sz w:val="24"/>
                <w:szCs w:val="24"/>
              </w:rPr>
              <w:t xml:space="preserve"> </w:t>
            </w:r>
          </w:p>
        </w:tc>
        <w:tc>
          <w:tcPr>
            <w:tcW w:w="5050" w:type="dxa"/>
          </w:tcPr>
          <w:p w14:paraId="7225721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5FB84D3D" w14:textId="77777777" w:rsidTr="00C74CEB">
        <w:tc>
          <w:tcPr>
            <w:tcW w:w="4022" w:type="dxa"/>
          </w:tcPr>
          <w:p w14:paraId="494FD869" w14:textId="77777777"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a) Gestión organizacional</w:t>
            </w:r>
          </w:p>
        </w:tc>
        <w:tc>
          <w:tcPr>
            <w:tcW w:w="5050" w:type="dxa"/>
          </w:tcPr>
          <w:p w14:paraId="172E211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Se refiere a los aspectos propios de la administración del recurso humano, que incluyen el estilo de mando, las modalidades de pago y de contratación, la participación, el acceso a actividades de inducción y capacitación, los servicios de bienestar </w:t>
            </w:r>
            <w:r w:rsidRPr="00C74CEB">
              <w:rPr>
                <w:rFonts w:ascii="Arial" w:eastAsia="Arial" w:hAnsi="Arial" w:cs="Arial"/>
                <w:color w:val="000000"/>
                <w:sz w:val="24"/>
                <w:szCs w:val="24"/>
              </w:rPr>
              <w:lastRenderedPageBreak/>
              <w:t>social, los mecanismos de evaluación del desempeño y las estrategias para el manejo de los cambios que afecten a las personas, entre otros.</w:t>
            </w:r>
          </w:p>
        </w:tc>
      </w:tr>
      <w:tr w:rsidR="006865D2" w:rsidRPr="00C74CEB" w14:paraId="0C44A488" w14:textId="77777777" w:rsidTr="00C74CEB">
        <w:tc>
          <w:tcPr>
            <w:tcW w:w="4022" w:type="dxa"/>
          </w:tcPr>
          <w:p w14:paraId="3C780DD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b) Características de la organización del trabajo:</w:t>
            </w:r>
          </w:p>
        </w:tc>
        <w:tc>
          <w:tcPr>
            <w:tcW w:w="5050" w:type="dxa"/>
          </w:tcPr>
          <w:p w14:paraId="64B8453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Contempla las formas de comunicación, la tecnología, la modalidad de organización del trabajo y las demandas cualitativas y cuantitativas de la labor.</w:t>
            </w:r>
          </w:p>
        </w:tc>
      </w:tr>
      <w:tr w:rsidR="006865D2" w:rsidRPr="00C74CEB" w14:paraId="15A55679" w14:textId="77777777" w:rsidTr="00C74CEB">
        <w:tc>
          <w:tcPr>
            <w:tcW w:w="4022" w:type="dxa"/>
          </w:tcPr>
          <w:p w14:paraId="40689C72"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 Características del grupo social de trabajo:</w:t>
            </w:r>
          </w:p>
        </w:tc>
        <w:tc>
          <w:tcPr>
            <w:tcW w:w="5050" w:type="dxa"/>
          </w:tcPr>
          <w:p w14:paraId="08468D3F"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clima de relaciones, la cohesión y la calidad de las interacciones, así como el trabajo en equipo.</w:t>
            </w:r>
          </w:p>
        </w:tc>
      </w:tr>
      <w:tr w:rsidR="006865D2" w:rsidRPr="00C74CEB" w14:paraId="7BA5A4CA" w14:textId="77777777" w:rsidTr="00C74CEB">
        <w:tc>
          <w:tcPr>
            <w:tcW w:w="4022" w:type="dxa"/>
          </w:tcPr>
          <w:p w14:paraId="4521A48D"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 Condiciones de la tarea:</w:t>
            </w:r>
          </w:p>
        </w:tc>
        <w:tc>
          <w:tcPr>
            <w:tcW w:w="5050" w:type="dxa"/>
          </w:tcPr>
          <w:p w14:paraId="36B2925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6865D2" w:rsidRPr="00C74CEB" w14:paraId="2D526EDE" w14:textId="77777777" w:rsidTr="00C74CEB">
        <w:tc>
          <w:tcPr>
            <w:tcW w:w="4022" w:type="dxa"/>
          </w:tcPr>
          <w:p w14:paraId="1CAFE3A1"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e) Carga física:</w:t>
            </w:r>
          </w:p>
        </w:tc>
        <w:tc>
          <w:tcPr>
            <w:tcW w:w="5050" w:type="dxa"/>
          </w:tcPr>
          <w:p w14:paraId="22BC4FE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6865D2" w:rsidRPr="00C74CEB" w14:paraId="760E69B3" w14:textId="77777777" w:rsidTr="00C74CEB">
        <w:tc>
          <w:tcPr>
            <w:tcW w:w="4022" w:type="dxa"/>
          </w:tcPr>
          <w:p w14:paraId="4E74109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 Condiciones del medio ambiente de trabajo:</w:t>
            </w:r>
          </w:p>
        </w:tc>
        <w:tc>
          <w:tcPr>
            <w:tcW w:w="5050" w:type="dxa"/>
          </w:tcPr>
          <w:p w14:paraId="55AD57C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Aspectos físicos (temperatura, ruido, iluminación, ventilación, vibración); químicos; </w:t>
            </w:r>
            <w:r w:rsidRPr="00C74CEB">
              <w:rPr>
                <w:rFonts w:ascii="Arial" w:eastAsia="Arial" w:hAnsi="Arial" w:cs="Arial"/>
                <w:color w:val="000000"/>
                <w:sz w:val="24"/>
                <w:szCs w:val="24"/>
              </w:rPr>
              <w:lastRenderedPageBreak/>
              <w:t>biológicos; de diseño del puesto y de saneamiento, como agravantes o coadyuvantes de factores psicosociales.</w:t>
            </w:r>
          </w:p>
        </w:tc>
      </w:tr>
      <w:tr w:rsidR="006865D2" w:rsidRPr="00C74CEB" w14:paraId="20194EA9" w14:textId="77777777" w:rsidTr="00C74CEB">
        <w:tc>
          <w:tcPr>
            <w:tcW w:w="4022" w:type="dxa"/>
          </w:tcPr>
          <w:p w14:paraId="330F219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g) Interface    persona–tarea:</w:t>
            </w:r>
          </w:p>
        </w:tc>
        <w:tc>
          <w:tcPr>
            <w:tcW w:w="5050" w:type="dxa"/>
          </w:tcPr>
          <w:p w14:paraId="6688906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6865D2" w:rsidRPr="00C74CEB" w14:paraId="487C44C9" w14:textId="77777777" w:rsidTr="00C74CEB">
        <w:tc>
          <w:tcPr>
            <w:tcW w:w="4022" w:type="dxa"/>
          </w:tcPr>
          <w:p w14:paraId="05EB71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h) Jornada de trabajo:</w:t>
            </w:r>
          </w:p>
        </w:tc>
        <w:tc>
          <w:tcPr>
            <w:tcW w:w="5050" w:type="dxa"/>
          </w:tcPr>
          <w:p w14:paraId="347004F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6865D2" w:rsidRPr="00C74CEB" w14:paraId="7D46D5A1" w14:textId="77777777" w:rsidTr="00C74CEB">
        <w:tc>
          <w:tcPr>
            <w:tcW w:w="4022" w:type="dxa"/>
          </w:tcPr>
          <w:p w14:paraId="6267BBE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Número de trabajadores por tipo de contrato.</w:t>
            </w:r>
          </w:p>
        </w:tc>
        <w:tc>
          <w:tcPr>
            <w:tcW w:w="5050" w:type="dxa"/>
          </w:tcPr>
          <w:p w14:paraId="40A10B9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cantidad de personas que laboran en la empresa</w:t>
            </w:r>
          </w:p>
        </w:tc>
      </w:tr>
      <w:tr w:rsidR="006865D2" w:rsidRPr="00C74CEB" w14:paraId="4C1DF4BE" w14:textId="77777777" w:rsidTr="00C74CEB">
        <w:tc>
          <w:tcPr>
            <w:tcW w:w="4022" w:type="dxa"/>
          </w:tcPr>
          <w:p w14:paraId="217E74A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Tipo de beneficios recibidos a través de los programas de bienestar de la empresa:</w:t>
            </w:r>
          </w:p>
        </w:tc>
        <w:tc>
          <w:tcPr>
            <w:tcW w:w="5050" w:type="dxa"/>
          </w:tcPr>
          <w:p w14:paraId="0B4E0B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Programas de vivienda, educación, recreación, deporte, Programas de capacitación y formación permanente para los trabajadores </w:t>
            </w:r>
          </w:p>
        </w:tc>
      </w:tr>
    </w:tbl>
    <w:p w14:paraId="3442F2AB" w14:textId="77777777" w:rsidR="006865D2" w:rsidRPr="00C74CEB" w:rsidRDefault="006865D2">
      <w:pPr>
        <w:jc w:val="both"/>
        <w:rPr>
          <w:rFonts w:ascii="Arial" w:eastAsia="Arial" w:hAnsi="Arial" w:cs="Arial"/>
          <w:b/>
          <w:sz w:val="24"/>
          <w:szCs w:val="24"/>
        </w:rPr>
      </w:pPr>
    </w:p>
    <w:p w14:paraId="07645534" w14:textId="77777777" w:rsidR="006865D2" w:rsidRPr="00C74CEB" w:rsidRDefault="006865D2">
      <w:pPr>
        <w:jc w:val="both"/>
        <w:rPr>
          <w:rFonts w:ascii="Arial" w:eastAsia="Arial" w:hAnsi="Arial" w:cs="Arial"/>
          <w:b/>
          <w:sz w:val="24"/>
          <w:szCs w:val="24"/>
        </w:rPr>
      </w:pPr>
    </w:p>
    <w:tbl>
      <w:tblPr>
        <w:tblStyle w:val="a9"/>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5042"/>
      </w:tblGrid>
      <w:tr w:rsidR="006865D2" w:rsidRPr="00C74CEB" w14:paraId="4B43A776" w14:textId="77777777" w:rsidTr="00C74CEB">
        <w:tc>
          <w:tcPr>
            <w:tcW w:w="4030" w:type="dxa"/>
          </w:tcPr>
          <w:p w14:paraId="2F255F84"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FACTORES PSICOSOCIALES INDIVIDUALES</w:t>
            </w:r>
          </w:p>
        </w:tc>
        <w:tc>
          <w:tcPr>
            <w:tcW w:w="5042" w:type="dxa"/>
          </w:tcPr>
          <w:p w14:paraId="47CE2A90"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35AECCEB" w14:textId="77777777" w:rsidTr="00C74CEB">
        <w:tc>
          <w:tcPr>
            <w:tcW w:w="4030" w:type="dxa"/>
          </w:tcPr>
          <w:p w14:paraId="7D7C28D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a) Información sociodemográfica</w:t>
            </w:r>
          </w:p>
        </w:tc>
        <w:tc>
          <w:tcPr>
            <w:tcW w:w="5042" w:type="dxa"/>
          </w:tcPr>
          <w:p w14:paraId="1F37AB2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 información debe incluir datos sobre: sexo, edad, escolaridad, convivencia en </w:t>
            </w:r>
            <w:r w:rsidRPr="00C74CEB">
              <w:rPr>
                <w:rFonts w:ascii="Arial" w:eastAsia="Arial" w:hAnsi="Arial" w:cs="Arial"/>
                <w:color w:val="000000"/>
                <w:sz w:val="24"/>
                <w:szCs w:val="24"/>
              </w:rPr>
              <w:lastRenderedPageBreak/>
              <w:t>pareja, número de personas a cargo, ocupación, área de trabajo, cargo, tiempo de antigüedad en el cargo. Actualizada anualmente y discriminada de acuerdo al número de trabajadores.</w:t>
            </w:r>
          </w:p>
        </w:tc>
      </w:tr>
      <w:tr w:rsidR="006865D2" w:rsidRPr="00C74CEB" w14:paraId="5AB72A57" w14:textId="77777777" w:rsidTr="00C74CEB">
        <w:tc>
          <w:tcPr>
            <w:tcW w:w="4030" w:type="dxa"/>
          </w:tcPr>
          <w:p w14:paraId="0DF8189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b) Personalidad </w:t>
            </w:r>
          </w:p>
        </w:tc>
        <w:tc>
          <w:tcPr>
            <w:tcW w:w="5042" w:type="dxa"/>
          </w:tcPr>
          <w:p w14:paraId="01D4C5D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Características de personalidad y estilos de afrontamiento mediante instrumentos psicométricos y clínicos aplicados por expertos.</w:t>
            </w:r>
          </w:p>
        </w:tc>
      </w:tr>
      <w:tr w:rsidR="006865D2" w:rsidRPr="00C74CEB" w14:paraId="3B9E1106" w14:textId="77777777" w:rsidTr="00C74CEB">
        <w:tc>
          <w:tcPr>
            <w:tcW w:w="4030" w:type="dxa"/>
          </w:tcPr>
          <w:p w14:paraId="3FE025E6"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w:t>
            </w:r>
            <w:r w:rsidRPr="00C74CEB">
              <w:rPr>
                <w:rFonts w:ascii="Arial" w:eastAsia="Arial" w:hAnsi="Arial" w:cs="Arial"/>
                <w:color w:val="000000"/>
                <w:sz w:val="24"/>
                <w:szCs w:val="24"/>
              </w:rPr>
              <w:t xml:space="preserve"> </w:t>
            </w:r>
            <w:r w:rsidRPr="00C74CEB">
              <w:rPr>
                <w:rFonts w:ascii="Arial" w:eastAsia="Arial" w:hAnsi="Arial" w:cs="Arial"/>
                <w:b/>
                <w:color w:val="000000"/>
                <w:sz w:val="24"/>
                <w:szCs w:val="24"/>
              </w:rPr>
              <w:t>Condiciones de salud evaluadas</w:t>
            </w:r>
          </w:p>
        </w:tc>
        <w:tc>
          <w:tcPr>
            <w:tcW w:w="5042" w:type="dxa"/>
          </w:tcPr>
          <w:p w14:paraId="151AAE51" w14:textId="44B1844A"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Estado físico y metal de los </w:t>
            </w:r>
            <w:r w:rsidR="00C74CEB" w:rsidRPr="00C74CEB">
              <w:rPr>
                <w:rFonts w:ascii="Arial" w:eastAsia="Arial" w:hAnsi="Arial" w:cs="Arial"/>
                <w:color w:val="000000"/>
                <w:sz w:val="24"/>
                <w:szCs w:val="24"/>
              </w:rPr>
              <w:t>trabajadores que</w:t>
            </w:r>
            <w:r w:rsidRPr="00C74CEB">
              <w:rPr>
                <w:rFonts w:ascii="Arial" w:eastAsia="Arial" w:hAnsi="Arial" w:cs="Arial"/>
                <w:color w:val="000000"/>
                <w:sz w:val="24"/>
                <w:szCs w:val="24"/>
              </w:rPr>
              <w:t xml:space="preserve"> se monitorea a través de los exámenes médicos ocupacionales del programa de salud ocupacional.</w:t>
            </w:r>
          </w:p>
        </w:tc>
      </w:tr>
    </w:tbl>
    <w:p w14:paraId="39FFE47A"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 xml:space="preserve">  </w:t>
      </w:r>
    </w:p>
    <w:p w14:paraId="28ECF93C"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sz w:val="24"/>
          <w:szCs w:val="24"/>
        </w:rPr>
        <w:t>Evaluación de los efectos de los factores psicosociales. Para efecto de la evaluación de los factores psicosociales, se deben incluir información periódica y actualizada sobre los siguientes aspectos</w:t>
      </w:r>
      <w:r w:rsidRPr="00C74CEB">
        <w:rPr>
          <w:rFonts w:ascii="Arial" w:eastAsia="Arial" w:hAnsi="Arial" w:cs="Arial"/>
          <w:b/>
          <w:sz w:val="24"/>
          <w:szCs w:val="24"/>
        </w:rPr>
        <w:t>:</w:t>
      </w:r>
    </w:p>
    <w:p w14:paraId="26222F44" w14:textId="77777777" w:rsidR="006865D2" w:rsidRPr="00C74CEB" w:rsidRDefault="006865D2">
      <w:pPr>
        <w:pBdr>
          <w:top w:val="nil"/>
          <w:left w:val="nil"/>
          <w:bottom w:val="nil"/>
          <w:right w:val="nil"/>
          <w:between w:val="nil"/>
        </w:pBdr>
        <w:spacing w:after="0"/>
        <w:ind w:left="720"/>
        <w:jc w:val="both"/>
        <w:rPr>
          <w:rFonts w:ascii="Arial" w:eastAsia="Arial" w:hAnsi="Arial" w:cs="Arial"/>
          <w:color w:val="000000"/>
          <w:sz w:val="24"/>
          <w:szCs w:val="24"/>
        </w:rPr>
      </w:pPr>
    </w:p>
    <w:p w14:paraId="1A21EAB8" w14:textId="7084C52A"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bCs/>
          <w:color w:val="000000"/>
          <w:sz w:val="24"/>
          <w:szCs w:val="24"/>
        </w:rPr>
        <w:t>a)</w:t>
      </w:r>
      <w:r w:rsidRPr="00C74CEB">
        <w:rPr>
          <w:rFonts w:ascii="Arial" w:eastAsia="Arial" w:hAnsi="Arial" w:cs="Arial"/>
          <w:color w:val="000000"/>
          <w:sz w:val="24"/>
          <w:szCs w:val="24"/>
        </w:rPr>
        <w:t xml:space="preserve"> </w:t>
      </w:r>
      <w:r w:rsidRPr="00C74CEB">
        <w:rPr>
          <w:rFonts w:ascii="Arial" w:eastAsia="Arial" w:hAnsi="Arial" w:cs="Arial"/>
          <w:bCs/>
          <w:sz w:val="24"/>
          <w:szCs w:val="24"/>
        </w:rPr>
        <w:t>Condiciones de salud, tomando en cuenta cada uno de los sistemas corporales: osteomuscular, cardiovascular, respiratorio, gastrointestinal, mental, sistema nervioso central y periférico, dermatológico, endocrino, genitourinario e inmunológico.</w:t>
      </w:r>
    </w:p>
    <w:p w14:paraId="2236434D"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b) </w:t>
      </w:r>
      <w:r w:rsidRPr="00C74CEB">
        <w:rPr>
          <w:rFonts w:ascii="Arial" w:eastAsia="Arial" w:hAnsi="Arial" w:cs="Arial"/>
          <w:bCs/>
          <w:sz w:val="24"/>
          <w:szCs w:val="24"/>
        </w:rPr>
        <w:t>Ocurrencia de accidentes de trabajo y enfermedad profesional.</w:t>
      </w:r>
    </w:p>
    <w:p w14:paraId="78982894" w14:textId="77777777" w:rsidR="006865D2" w:rsidRPr="00C74CEB" w:rsidRDefault="00F50145" w:rsidP="00C74CEB">
      <w:pPr>
        <w:ind w:left="142" w:right="-234"/>
        <w:jc w:val="both"/>
        <w:rPr>
          <w:rFonts w:ascii="Arial" w:eastAsia="Arial" w:hAnsi="Arial" w:cs="Arial"/>
          <w:bCs/>
          <w:sz w:val="24"/>
          <w:szCs w:val="24"/>
        </w:rPr>
      </w:pPr>
      <w:r w:rsidRPr="00C74CEB">
        <w:rPr>
          <w:rFonts w:ascii="Arial" w:eastAsia="Arial" w:hAnsi="Arial" w:cs="Arial"/>
          <w:b/>
          <w:sz w:val="24"/>
          <w:szCs w:val="24"/>
        </w:rPr>
        <w:t xml:space="preserve">c) </w:t>
      </w:r>
      <w:r w:rsidRPr="00C74CEB">
        <w:rPr>
          <w:rFonts w:ascii="Arial" w:eastAsia="Arial" w:hAnsi="Arial" w:cs="Arial"/>
          <w:bCs/>
          <w:sz w:val="24"/>
          <w:szCs w:val="24"/>
        </w:rPr>
        <w:t>Estadísticas de morbilidad y mortalidad por accidente de trabajo, enfermedad profesional y enfermedad común, discriminadas por diagnóstico, días de incapacidad médica, ocupación y género.</w:t>
      </w:r>
    </w:p>
    <w:p w14:paraId="0059B79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d) </w:t>
      </w:r>
      <w:r w:rsidRPr="00C74CEB">
        <w:rPr>
          <w:rFonts w:ascii="Arial" w:eastAsia="Arial" w:hAnsi="Arial" w:cs="Arial"/>
          <w:bCs/>
          <w:sz w:val="24"/>
          <w:szCs w:val="24"/>
        </w:rPr>
        <w:t>Ausentismo.</w:t>
      </w:r>
    </w:p>
    <w:p w14:paraId="0CE5FA00"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e) </w:t>
      </w:r>
      <w:r w:rsidRPr="00C74CEB">
        <w:rPr>
          <w:rFonts w:ascii="Arial" w:eastAsia="Arial" w:hAnsi="Arial" w:cs="Arial"/>
          <w:bCs/>
          <w:sz w:val="24"/>
          <w:szCs w:val="24"/>
        </w:rPr>
        <w:t>Rotación de personal.</w:t>
      </w:r>
    </w:p>
    <w:p w14:paraId="6DB47E0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f) </w:t>
      </w:r>
      <w:r w:rsidRPr="00C74CEB">
        <w:rPr>
          <w:rFonts w:ascii="Arial" w:eastAsia="Arial" w:hAnsi="Arial" w:cs="Arial"/>
          <w:bCs/>
          <w:sz w:val="24"/>
          <w:szCs w:val="24"/>
        </w:rPr>
        <w:t>Rendimiento laboral.</w:t>
      </w:r>
    </w:p>
    <w:p w14:paraId="4054E62C" w14:textId="3EA7183C"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lastRenderedPageBreak/>
        <w:t>Para la identificación y evaluación de los factores psicosociales en el trabajo y sus efectos se establecieron varias fases</w:t>
      </w:r>
      <w:r w:rsidR="008E5D8B">
        <w:rPr>
          <w:rFonts w:ascii="Arial" w:eastAsia="Arial" w:hAnsi="Arial" w:cs="Arial"/>
          <w:sz w:val="24"/>
          <w:szCs w:val="24"/>
        </w:rPr>
        <w:t>:</w:t>
      </w:r>
    </w:p>
    <w:p w14:paraId="140F03B9" w14:textId="2B598A2B"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Fase1: Sensibilización y planeación</w:t>
      </w:r>
      <w:r w:rsidR="008E5D8B">
        <w:rPr>
          <w:rFonts w:ascii="Arial" w:eastAsia="Arial" w:hAnsi="Arial" w:cs="Arial"/>
          <w:sz w:val="24"/>
          <w:szCs w:val="24"/>
        </w:rPr>
        <w:t>.</w:t>
      </w:r>
    </w:p>
    <w:p w14:paraId="1F0E8C9A" w14:textId="23628EBD"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Fase2: Diagnostico de factores de riesgo psicosocial</w:t>
      </w:r>
      <w:r w:rsidR="008E5D8B">
        <w:rPr>
          <w:rFonts w:ascii="Arial" w:eastAsia="Arial" w:hAnsi="Arial" w:cs="Arial"/>
          <w:sz w:val="24"/>
          <w:szCs w:val="24"/>
        </w:rPr>
        <w:t>.</w:t>
      </w:r>
    </w:p>
    <w:p w14:paraId="0C34B2DC" w14:textId="25165B5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Fase3: Intervención</w:t>
      </w:r>
      <w:r w:rsidR="008E5D8B">
        <w:rPr>
          <w:rFonts w:ascii="Arial" w:eastAsia="Arial" w:hAnsi="Arial" w:cs="Arial"/>
          <w:sz w:val="24"/>
          <w:szCs w:val="24"/>
        </w:rPr>
        <w:t>.</w:t>
      </w:r>
    </w:p>
    <w:p w14:paraId="5CBE5D43" w14:textId="170AB3E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 4 seguimiento y control</w:t>
      </w:r>
      <w:r w:rsidR="008E5D8B">
        <w:rPr>
          <w:rFonts w:ascii="Arial" w:eastAsia="Arial" w:hAnsi="Arial" w:cs="Arial"/>
          <w:sz w:val="24"/>
          <w:szCs w:val="24"/>
        </w:rPr>
        <w:t>.</w:t>
      </w:r>
    </w:p>
    <w:p w14:paraId="0E0CCE27"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5.2 FASE 1: SENSIBILIZACIÓN Y PLANEACIÓN.</w:t>
      </w:r>
    </w:p>
    <w:p w14:paraId="1C4D567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capacitación en manejo del estrés, explicando que, de acuerdo a la valoración de peligros, riesgos y al tipo de actividad desarrollada por la empresa se establece la necesidad prevenir el riesgo psicosocial.</w:t>
      </w:r>
    </w:p>
    <w:p w14:paraId="5DFB7BE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 DIAGNÓSTICO</w:t>
      </w:r>
    </w:p>
    <w:p w14:paraId="13CC66B8"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5.3.1 IDENTIFICACIÓN Y VALORACIÓN DE RIESGOS. </w:t>
      </w:r>
    </w:p>
    <w:p w14:paraId="238D5D9D" w14:textId="7DB5F08F"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la medición de acuerdo al instrumento de establecido y aprobado por la ARL</w:t>
      </w:r>
      <w:r w:rsidR="008E5D8B">
        <w:rPr>
          <w:rFonts w:ascii="Arial" w:eastAsia="Arial" w:hAnsi="Arial" w:cs="Arial"/>
          <w:sz w:val="24"/>
          <w:szCs w:val="24"/>
        </w:rPr>
        <w:t>.</w:t>
      </w:r>
    </w:p>
    <w:p w14:paraId="014D0F6E" w14:textId="47DA8C52"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En este sentido se aplicará el instrumento validado a nivel nacional para la identificación y tipo de intervención del riesgo psicosocial</w:t>
      </w:r>
      <w:r w:rsidR="008E5D8B">
        <w:rPr>
          <w:rFonts w:ascii="Arial" w:eastAsia="Arial" w:hAnsi="Arial" w:cs="Arial"/>
          <w:sz w:val="24"/>
          <w:szCs w:val="24"/>
        </w:rPr>
        <w:t>.</w:t>
      </w:r>
    </w:p>
    <w:p w14:paraId="045595B4"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5.3.2 ESTADÍSTICAS.</w:t>
      </w:r>
    </w:p>
    <w:p w14:paraId="625CCA58"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tendrán en cuenta para el proceso de diagnóstico la información de ausentismo por incapacidad médica o licencias, por enfermedad común o laboral y los registros de accidentes de trabajo sobre los cuales se identificarán los casos relacionados con factores psicosociales.</w:t>
      </w:r>
    </w:p>
    <w:p w14:paraId="461CB37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5.3.3. FASE 2. DIAGNOSTICO DE CONDICIONES DE SALUD </w:t>
      </w:r>
    </w:p>
    <w:p w14:paraId="561EF4F7" w14:textId="63E2F26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Cada año se elabora el diagnóstico de condiciones de salud, en este se contemplan unas variables para cada colaborador que le permite al médico identificar factores de riesgo</w:t>
      </w:r>
      <w:r w:rsidR="008E5D8B">
        <w:rPr>
          <w:rFonts w:ascii="Arial" w:eastAsia="Arial" w:hAnsi="Arial" w:cs="Arial"/>
          <w:sz w:val="24"/>
          <w:szCs w:val="24"/>
        </w:rPr>
        <w:t>.</w:t>
      </w:r>
    </w:p>
    <w:p w14:paraId="7CA87BCC"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 xml:space="preserve">El diagnóstico de las condiciones de salud parte de los exámenes de ingreso, periódicos de acuerdo con los resultados se realiza un análisis y consolidado anual </w:t>
      </w:r>
    </w:p>
    <w:p w14:paraId="66A239AB" w14:textId="1479A3FF"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lastRenderedPageBreak/>
        <w:t>Presencia de eventos estresantes extremadamente traumáticos</w:t>
      </w:r>
      <w:r w:rsidRPr="00C74CEB">
        <w:rPr>
          <w:rFonts w:ascii="Arial" w:eastAsia="Arial" w:hAnsi="Arial" w:cs="Arial"/>
          <w:sz w:val="24"/>
          <w:szCs w:val="24"/>
        </w:rPr>
        <w:t xml:space="preserve"> en el que la persona se encuentra en medio de hechos que pueden comprometer su integridad física o su vida, los cuales desencadenan síndrome postraumático como (atraco, violación etc)</w:t>
      </w:r>
      <w:r w:rsidR="008E5D8B">
        <w:rPr>
          <w:rFonts w:ascii="Arial" w:eastAsia="Arial" w:hAnsi="Arial" w:cs="Arial"/>
          <w:sz w:val="24"/>
          <w:szCs w:val="24"/>
        </w:rPr>
        <w:t>.</w:t>
      </w:r>
    </w:p>
    <w:p w14:paraId="788B38FF" w14:textId="6D3A2BFD"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Presencia de hipertensión arterial esencial</w:t>
      </w:r>
      <w:r w:rsidRPr="00C74CEB">
        <w:rPr>
          <w:rFonts w:ascii="Arial" w:eastAsia="Arial" w:hAnsi="Arial" w:cs="Arial"/>
          <w:sz w:val="24"/>
          <w:szCs w:val="24"/>
        </w:rPr>
        <w:t>, incluida la indagación de historia familiar de enfermedad coronaria, padres con enfermedad cardiaca o enfermedad de los vaso</w:t>
      </w:r>
      <w:r w:rsidR="008E5D8B">
        <w:rPr>
          <w:rFonts w:ascii="Arial" w:eastAsia="Arial" w:hAnsi="Arial" w:cs="Arial"/>
          <w:sz w:val="24"/>
          <w:szCs w:val="24"/>
        </w:rPr>
        <w:t>s</w:t>
      </w:r>
      <w:r w:rsidRPr="00C74CEB">
        <w:rPr>
          <w:rFonts w:ascii="Arial" w:eastAsia="Arial" w:hAnsi="Arial" w:cs="Arial"/>
          <w:sz w:val="24"/>
          <w:szCs w:val="24"/>
        </w:rPr>
        <w:t xml:space="preserve"> sanguíneos, historia familiar de altos niveles de colesterol, alteraciones de la </w:t>
      </w:r>
      <w:r w:rsidR="008E5D8B" w:rsidRPr="00C74CEB">
        <w:rPr>
          <w:rFonts w:ascii="Arial" w:eastAsia="Arial" w:hAnsi="Arial" w:cs="Arial"/>
          <w:sz w:val="24"/>
          <w:szCs w:val="24"/>
        </w:rPr>
        <w:t>coagulación</w:t>
      </w:r>
      <w:r w:rsidRPr="00C74CEB">
        <w:rPr>
          <w:rFonts w:ascii="Arial" w:eastAsia="Arial" w:hAnsi="Arial" w:cs="Arial"/>
          <w:sz w:val="24"/>
          <w:szCs w:val="24"/>
        </w:rPr>
        <w:t xml:space="preserve"> sanguínea, diabetes, obesidad</w:t>
      </w:r>
      <w:r w:rsidR="008E5D8B">
        <w:rPr>
          <w:rFonts w:ascii="Arial" w:eastAsia="Arial" w:hAnsi="Arial" w:cs="Arial"/>
          <w:sz w:val="24"/>
          <w:szCs w:val="24"/>
        </w:rPr>
        <w:t>.</w:t>
      </w:r>
    </w:p>
    <w:p w14:paraId="101693B6"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accidentes cerebro vascular del trabajador</w:t>
      </w:r>
      <w:r w:rsidRPr="00C74CEB">
        <w:rPr>
          <w:rFonts w:ascii="Arial" w:eastAsia="Arial" w:hAnsi="Arial" w:cs="Arial"/>
          <w:sz w:val="24"/>
          <w:szCs w:val="24"/>
        </w:rPr>
        <w:t>, factores de riesgo como hipertensión arterial (no controlada), dislipemia, tabaquismo, diabetes.</w:t>
      </w:r>
    </w:p>
    <w:p w14:paraId="4D2D775F"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Enfermedad ácido péptica</w:t>
      </w:r>
      <w:r w:rsidRPr="00C74CEB">
        <w:rPr>
          <w:rFonts w:ascii="Arial" w:eastAsia="Arial" w:hAnsi="Arial" w:cs="Arial"/>
          <w:sz w:val="24"/>
          <w:szCs w:val="24"/>
        </w:rPr>
        <w:t>: Factores de riesgo como helicobacter pylori, enfermedades sistémicas pulmonares, cirrosis y sepsis si no están bajo control.</w:t>
      </w:r>
    </w:p>
    <w:p w14:paraId="64495193"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 xml:space="preserve">Síndrome del intestino irritable: </w:t>
      </w:r>
      <w:r w:rsidRPr="00C74CEB">
        <w:rPr>
          <w:rFonts w:ascii="Arial" w:eastAsia="Arial" w:hAnsi="Arial" w:cs="Arial"/>
          <w:sz w:val="24"/>
          <w:szCs w:val="24"/>
        </w:rPr>
        <w:t>factores de riesgo de motilidad intestinal e historia de abuso y maltrato infantil.</w:t>
      </w:r>
    </w:p>
    <w:p w14:paraId="6BCB5AFA" w14:textId="6BB6825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depresión mayor</w:t>
      </w:r>
      <w:r w:rsidRPr="00C74CEB">
        <w:rPr>
          <w:rFonts w:ascii="Arial" w:eastAsia="Arial" w:hAnsi="Arial" w:cs="Arial"/>
          <w:sz w:val="24"/>
          <w:szCs w:val="24"/>
        </w:rPr>
        <w:t>, episodio único, factores de riesgo como trastorno respectivo en familiares de primer grado. Rasgos de personalidad como sensibilidad o hipersensibilidad, pasividad, dependencia introversión, poca actividad, historia de trastornos mentales previos (tipo ansioso o depresivos)</w:t>
      </w:r>
      <w:r w:rsidR="008E5D8B">
        <w:rPr>
          <w:rFonts w:ascii="Arial" w:eastAsia="Arial" w:hAnsi="Arial" w:cs="Arial"/>
          <w:sz w:val="24"/>
          <w:szCs w:val="24"/>
        </w:rPr>
        <w:t>.</w:t>
      </w:r>
    </w:p>
    <w:p w14:paraId="736E1C35" w14:textId="53B43AEC"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 de Ansiedad</w:t>
      </w:r>
      <w:r w:rsidRPr="00C74CEB">
        <w:rPr>
          <w:rFonts w:ascii="Arial" w:eastAsia="Arial" w:hAnsi="Arial" w:cs="Arial"/>
          <w:sz w:val="24"/>
          <w:szCs w:val="24"/>
        </w:rPr>
        <w:t xml:space="preserve"> </w:t>
      </w:r>
      <w:r w:rsidRPr="00C74CEB">
        <w:rPr>
          <w:rFonts w:ascii="Arial" w:eastAsia="Arial" w:hAnsi="Arial" w:cs="Arial"/>
          <w:b/>
          <w:sz w:val="24"/>
          <w:szCs w:val="24"/>
        </w:rPr>
        <w:t>generalizada</w:t>
      </w:r>
      <w:r w:rsidRPr="00C74CEB">
        <w:rPr>
          <w:rFonts w:ascii="Arial" w:eastAsia="Arial" w:hAnsi="Arial" w:cs="Arial"/>
          <w:sz w:val="24"/>
          <w:szCs w:val="24"/>
        </w:rPr>
        <w:t>, factores de riesgo de trastorno mentales previos (usualmente de tipo ansioso o depresivo)</w:t>
      </w:r>
      <w:r w:rsidR="008E5D8B">
        <w:rPr>
          <w:rFonts w:ascii="Arial" w:eastAsia="Arial" w:hAnsi="Arial" w:cs="Arial"/>
          <w:sz w:val="24"/>
          <w:szCs w:val="24"/>
        </w:rPr>
        <w:t>.</w:t>
      </w:r>
    </w:p>
    <w:p w14:paraId="623D12F7" w14:textId="3038A8A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trastornos de adaptación y</w:t>
      </w:r>
      <w:r w:rsidRPr="00C74CEB">
        <w:rPr>
          <w:rFonts w:ascii="Arial" w:eastAsia="Arial" w:hAnsi="Arial" w:cs="Arial"/>
          <w:sz w:val="24"/>
          <w:szCs w:val="24"/>
        </w:rPr>
        <w:t xml:space="preserve"> presencia de factores de riesgo como, carencia o percepción inadecuadas redes de apoyo social por parte de la familia, amigos y allegados previos a la aparición de trastorno y exagerada vulnerabilidad caracterizada por la exagerada vulnerabilidad</w:t>
      </w:r>
      <w:r w:rsidR="008E5D8B">
        <w:rPr>
          <w:rFonts w:ascii="Arial" w:eastAsia="Arial" w:hAnsi="Arial" w:cs="Arial"/>
          <w:sz w:val="24"/>
          <w:szCs w:val="24"/>
        </w:rPr>
        <w:t>.</w:t>
      </w:r>
    </w:p>
    <w:p w14:paraId="5C0D755B" w14:textId="46B9D2D8"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Alteraciones del sueño:</w:t>
      </w:r>
      <w:r w:rsidRPr="00C74CEB">
        <w:rPr>
          <w:rFonts w:ascii="Arial" w:eastAsia="Arial" w:hAnsi="Arial" w:cs="Arial"/>
          <w:sz w:val="24"/>
          <w:szCs w:val="24"/>
        </w:rPr>
        <w:t xml:space="preserve"> dolores de cuello espald</w:t>
      </w:r>
      <w:r w:rsidR="008E5D8B">
        <w:rPr>
          <w:rFonts w:ascii="Arial" w:eastAsia="Arial" w:hAnsi="Arial" w:cs="Arial"/>
          <w:sz w:val="24"/>
          <w:szCs w:val="24"/>
        </w:rPr>
        <w:t>a</w:t>
      </w:r>
      <w:r w:rsidRPr="00C74CEB">
        <w:rPr>
          <w:rFonts w:ascii="Arial" w:eastAsia="Arial" w:hAnsi="Arial" w:cs="Arial"/>
          <w:sz w:val="24"/>
          <w:szCs w:val="24"/>
        </w:rPr>
        <w:t xml:space="preserve"> y   miembros superiores (revisar las condiciones del diseño de los puestos de trabajo)</w:t>
      </w:r>
      <w:r w:rsidR="008E5D8B">
        <w:rPr>
          <w:rFonts w:ascii="Arial" w:eastAsia="Arial" w:hAnsi="Arial" w:cs="Arial"/>
          <w:sz w:val="24"/>
          <w:szCs w:val="24"/>
        </w:rPr>
        <w:t>.</w:t>
      </w:r>
    </w:p>
    <w:p w14:paraId="0B5C05E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Las personas que resulten con estos síntomas deben tener un seguimiento anual.</w:t>
      </w:r>
    </w:p>
    <w:p w14:paraId="645BC463"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5.4 INTERVENCIÓN:</w:t>
      </w:r>
    </w:p>
    <w:p w14:paraId="2F89F6C3" w14:textId="61DA887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lastRenderedPageBreak/>
        <w:t>En la intervención de los aspectos de salud relacionados con riesgo psicosocial se tendrán en cuenta los estudios relacionados a nivel de clima, la identificación y valoración de los riesgos psicosociales que haya realizado la compañía</w:t>
      </w:r>
      <w:r w:rsidR="008E5D8B">
        <w:rPr>
          <w:rFonts w:ascii="Arial" w:eastAsia="Arial" w:hAnsi="Arial" w:cs="Arial"/>
          <w:sz w:val="24"/>
          <w:szCs w:val="24"/>
        </w:rPr>
        <w:t>.</w:t>
      </w:r>
      <w:r w:rsidRPr="00C74CEB">
        <w:rPr>
          <w:rFonts w:ascii="Arial" w:eastAsia="Arial" w:hAnsi="Arial" w:cs="Arial"/>
          <w:sz w:val="24"/>
          <w:szCs w:val="24"/>
        </w:rPr>
        <w:t xml:space="preserve"> </w:t>
      </w:r>
    </w:p>
    <w:p w14:paraId="5ACC66C9"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De acuerdo con el análisis de datos recolectados en la fase de diagnóstico se establecerán las actividades para el control del riesgo psicosocial.</w:t>
      </w:r>
    </w:p>
    <w:p w14:paraId="6E9025F4" w14:textId="77777777" w:rsidR="006865D2" w:rsidRPr="00C74CEB" w:rsidRDefault="006865D2">
      <w:pPr>
        <w:jc w:val="both"/>
        <w:rPr>
          <w:rFonts w:ascii="Arial" w:eastAsia="Arial" w:hAnsi="Arial" w:cs="Arial"/>
          <w:sz w:val="24"/>
          <w:szCs w:val="24"/>
        </w:rPr>
      </w:pPr>
    </w:p>
    <w:p w14:paraId="2B0CE1E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t>5.4.1 CRITERIOS PARA LA INTERVENCIÓN DE LOS FACTORES PSICOSOCIALES.</w:t>
      </w:r>
    </w:p>
    <w:p w14:paraId="2844044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Toda intervención de los factores psicosociales en el trabajo implica el compromiso de la gerencia o de la dirección de la empresa y el de los trabajadores.</w:t>
      </w:r>
    </w:p>
    <w:p w14:paraId="546621EA"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 intervención de los factores de riesgo psicosociales se debe establecer con la participación de los directamente interesados o afectados.</w:t>
      </w:r>
    </w:p>
    <w:p w14:paraId="6D2FF854"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Para priorizar la intervención de los factores de riesgo </w:t>
      </w:r>
      <w:r w:rsidRPr="00C74CEB">
        <w:rPr>
          <w:rFonts w:ascii="Arial" w:eastAsia="Arial" w:hAnsi="Arial" w:cs="Arial"/>
          <w:sz w:val="24"/>
          <w:szCs w:val="24"/>
        </w:rPr>
        <w:t>psicosocial</w:t>
      </w:r>
      <w:r w:rsidRPr="00C74CEB">
        <w:rPr>
          <w:rFonts w:ascii="Arial" w:eastAsia="Arial" w:hAnsi="Arial" w:cs="Arial"/>
          <w:color w:val="000000"/>
          <w:sz w:val="24"/>
          <w:szCs w:val="24"/>
        </w:rPr>
        <w:t>, se debe tener en cuenta lo siguiente:</w:t>
      </w:r>
    </w:p>
    <w:p w14:paraId="6456A50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Basados en la estadística definir con claridad los efectos negativos sobre el trabajo o los trabajadores, resultado del análisis epidemiológico de la empresa.</w:t>
      </w:r>
    </w:p>
    <w:p w14:paraId="6B06CB59"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Realización de actividades educativas o formativas con los trabajadores, con el objeto de modificar actitudes o respuestas frente a las situaciones. </w:t>
      </w:r>
    </w:p>
    <w:p w14:paraId="7EB3F72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591ECEF8"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0DF6D48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Las acciones a realizar en el programa están integradas a los programas de salud ocupacional, así como a los programas de mejoramiento continuo y de calidad en las empresas.</w:t>
      </w:r>
    </w:p>
    <w:p w14:paraId="514480C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Para eventos agudos, se deben desarrollar programas de intervención en crisis.</w:t>
      </w:r>
    </w:p>
    <w:p w14:paraId="4C0E5466"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b/>
          <w:color w:val="000000"/>
          <w:sz w:val="24"/>
          <w:szCs w:val="24"/>
        </w:rPr>
        <w:t>Medidas preventivas y correctivas de acoso laboral</w:t>
      </w:r>
      <w:r w:rsidRPr="00C74CEB">
        <w:rPr>
          <w:rFonts w:ascii="Arial" w:eastAsia="Arial" w:hAnsi="Arial" w:cs="Arial"/>
          <w:i/>
          <w:color w:val="000000"/>
          <w:sz w:val="24"/>
          <w:szCs w:val="24"/>
        </w:rPr>
        <w:t>. </w:t>
      </w:r>
      <w:r w:rsidRPr="00C74CEB">
        <w:rPr>
          <w:rFonts w:ascii="Arial" w:eastAsia="Arial" w:hAnsi="Arial" w:cs="Arial"/>
          <w:color w:val="000000"/>
          <w:sz w:val="24"/>
          <w:szCs w:val="24"/>
        </w:rPr>
        <w:t>Son medidas preventivas y correctivas de acoso laboral las siguientes:</w:t>
      </w:r>
    </w:p>
    <w:p w14:paraId="5CC8A6A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 Medidas preventivas:</w:t>
      </w:r>
    </w:p>
    <w:p w14:paraId="18AED141"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59E6A02"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Elaborar códigos o manuales de convivencia, en los que se identifiquen los tipos de comportamiento aceptables en la empresa.</w:t>
      </w:r>
    </w:p>
    <w:p w14:paraId="2955757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4E882C8C"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5921DA4A"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02C02426"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Desarrollar actividades dirigidas a fomentar el apoyo social y promover relaciones sociales positivas entre los trabajadores de todos los niveles jerárquicos de la empresa.</w:t>
      </w:r>
    </w:p>
    <w:p w14:paraId="2037826D"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Conformar el Comité de Convivencia Laboral y establecer un procedimiento interno confidencial, conciliatorio y efectivo para prevenir las conductas de acoso laboral.</w:t>
      </w:r>
    </w:p>
    <w:p w14:paraId="0C93410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08337C13"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Medidas correctivas:</w:t>
      </w:r>
    </w:p>
    <w:p w14:paraId="3A2B8B0B"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Implementar acciones de intervención y control específicas de factores de riesgo psicosociales identificados como prioritarios, fomentando una cultura de no violencia.</w:t>
      </w:r>
    </w:p>
    <w:p w14:paraId="3381E9E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Promover la participación de los trabajadores en la definición de estrategias de intervención frente a los factores de riesgo que están generando violencia en el trabajo.</w:t>
      </w:r>
    </w:p>
    <w:p w14:paraId="19F82D80"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lastRenderedPageBreak/>
        <w:t>Facilitar el traslado del trabajador a otra dependencia de la empresa, cuando el médico tratante o el Comité de Convivencia lo recomienden.</w:t>
      </w:r>
    </w:p>
    <w:p w14:paraId="60F6396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un procedimiento interno confidencial, conciliatorio y efectivo para corregir las conductas de acoso laboral.</w:t>
      </w:r>
    </w:p>
    <w:p w14:paraId="6104FD35"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5.5. FASE DE EVALUACIÓN:</w:t>
      </w:r>
    </w:p>
    <w:p w14:paraId="1772BD76"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 evaluación tiene como objetivo medir, controlar y ajustar las acciones realizadas con las programadas en un determinado periodo de tiempo y verificar el cumplimiento de los objetivos y metas.</w:t>
      </w:r>
    </w:p>
    <w:p w14:paraId="27DB1E3A" w14:textId="0C039296" w:rsidR="006865D2" w:rsidRDefault="00F50145">
      <w:pPr>
        <w:jc w:val="both"/>
        <w:rPr>
          <w:rFonts w:ascii="Arial" w:eastAsia="Arial" w:hAnsi="Arial" w:cs="Arial"/>
          <w:sz w:val="24"/>
          <w:szCs w:val="24"/>
        </w:rPr>
      </w:pPr>
      <w:r w:rsidRPr="00C74CEB">
        <w:rPr>
          <w:rFonts w:ascii="Arial" w:eastAsia="Arial" w:hAnsi="Arial" w:cs="Arial"/>
          <w:sz w:val="24"/>
          <w:szCs w:val="24"/>
        </w:rPr>
        <w:t>Se realizará una evaluación periódica al personal al que se le diagnostique alguna presunta patología asociada a factores psicosociales.</w:t>
      </w:r>
    </w:p>
    <w:p w14:paraId="001B30A1" w14:textId="2E254371" w:rsidR="00CA2FD5" w:rsidRDefault="00CA2FD5">
      <w:pPr>
        <w:jc w:val="both"/>
        <w:rPr>
          <w:rFonts w:ascii="Arial" w:eastAsia="Arial" w:hAnsi="Arial" w:cs="Arial"/>
          <w:sz w:val="24"/>
          <w:szCs w:val="24"/>
        </w:rPr>
      </w:pPr>
    </w:p>
    <w:p w14:paraId="002F9955" w14:textId="77777777" w:rsidR="00CA2FD5" w:rsidRPr="00CA2FD5" w:rsidRDefault="00CA2FD5" w:rsidP="00CA2FD5">
      <w:pPr>
        <w:widowControl w:val="0"/>
        <w:pBdr>
          <w:top w:val="nil"/>
          <w:left w:val="nil"/>
          <w:bottom w:val="nil"/>
          <w:right w:val="nil"/>
          <w:between w:val="nil"/>
        </w:pBdr>
        <w:spacing w:before="93" w:after="0" w:line="240" w:lineRule="auto"/>
        <w:ind w:right="471"/>
        <w:jc w:val="both"/>
        <w:rPr>
          <w:rFonts w:ascii="Arial" w:eastAsia="Arial" w:hAnsi="Arial" w:cs="Arial"/>
          <w:b/>
          <w:color w:val="000000"/>
          <w:sz w:val="24"/>
          <w:szCs w:val="24"/>
          <w:lang w:val="es-ES"/>
        </w:rPr>
      </w:pPr>
      <w:bookmarkStart w:id="0" w:name="_Hlk190881680"/>
      <w:r w:rsidRPr="00CA2FD5">
        <w:rPr>
          <w:rFonts w:ascii="Arial" w:eastAsia="Arial" w:hAnsi="Arial" w:cs="Arial"/>
          <w:b/>
          <w:color w:val="000000"/>
          <w:sz w:val="24"/>
          <w:szCs w:val="24"/>
          <w:lang w:val="es-ES"/>
        </w:rPr>
        <w:t>TABLA DE CONTROL DE CAMBIOS</w:t>
      </w:r>
    </w:p>
    <w:p w14:paraId="3D1A135E" w14:textId="77777777" w:rsidR="00CA2FD5" w:rsidRPr="00CA2FD5" w:rsidRDefault="00CA2FD5" w:rsidP="00CA2FD5">
      <w:pPr>
        <w:widowControl w:val="0"/>
        <w:spacing w:after="0"/>
        <w:ind w:hanging="2"/>
        <w:jc w:val="both"/>
        <w:rPr>
          <w:rFonts w:ascii="Arial" w:eastAsia="Arial" w:hAnsi="Arial" w:cs="Arial"/>
          <w:sz w:val="24"/>
          <w:szCs w:val="24"/>
          <w:lang w:val="es-ES"/>
        </w:rPr>
      </w:pPr>
    </w:p>
    <w:p w14:paraId="2C65CD8D" w14:textId="77777777" w:rsidR="00CA2FD5" w:rsidRPr="00CA2FD5" w:rsidRDefault="00CA2FD5" w:rsidP="00CA2FD5">
      <w:pPr>
        <w:jc w:val="both"/>
        <w:rPr>
          <w:rFonts w:ascii="Arial" w:eastAsia="Arial" w:hAnsi="Arial" w:cs="Arial"/>
          <w:sz w:val="24"/>
          <w:szCs w:val="24"/>
          <w:lang w:val="es-ES"/>
        </w:rPr>
      </w:pPr>
      <w:r w:rsidRPr="00CA2FD5">
        <w:rPr>
          <w:rFonts w:ascii="Arial" w:eastAsia="Arial" w:hAnsi="Arial" w:cs="Arial"/>
          <w:sz w:val="24"/>
          <w:szCs w:val="24"/>
          <w:lang w:val="es-ES"/>
        </w:rPr>
        <w:t>Cuando un documento cambie de versión debe ser identificado con un sello de documento obsoleto.</w:t>
      </w:r>
    </w:p>
    <w:p w14:paraId="588B5843" w14:textId="77777777" w:rsidR="00CA2FD5" w:rsidRPr="00CA2FD5" w:rsidRDefault="00CA2FD5" w:rsidP="00CA2FD5">
      <w:pPr>
        <w:widowControl w:val="0"/>
        <w:spacing w:after="0"/>
        <w:ind w:hanging="2"/>
        <w:rPr>
          <w:rFonts w:ascii="Arial" w:eastAsia="Arial" w:hAnsi="Arial" w:cs="Arial"/>
          <w:sz w:val="24"/>
          <w:szCs w:val="24"/>
          <w:lang w:val="es-ES"/>
        </w:rPr>
      </w:pPr>
    </w:p>
    <w:tbl>
      <w:tblPr>
        <w:tblW w:w="9214" w:type="dxa"/>
        <w:tblInd w:w="-5" w:type="dxa"/>
        <w:tblLayout w:type="fixed"/>
        <w:tblLook w:val="0000" w:firstRow="0" w:lastRow="0" w:firstColumn="0" w:lastColumn="0" w:noHBand="0" w:noVBand="0"/>
      </w:tblPr>
      <w:tblGrid>
        <w:gridCol w:w="1418"/>
        <w:gridCol w:w="3402"/>
        <w:gridCol w:w="2693"/>
        <w:gridCol w:w="1701"/>
      </w:tblGrid>
      <w:tr w:rsidR="00CA2FD5" w:rsidRPr="00CA2FD5" w14:paraId="22EC0550" w14:textId="77777777" w:rsidTr="00CA2FD5">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5EB76"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Versión</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70800"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AC4D7"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E219A"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Fecha</w:t>
            </w:r>
          </w:p>
        </w:tc>
      </w:tr>
      <w:tr w:rsidR="00CA2FD5" w:rsidRPr="00CA2FD5" w14:paraId="33D74956" w14:textId="77777777" w:rsidTr="00CA2FD5">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39484FC"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01</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E96DC"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Creación del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E2B32"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Lucia Moreno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BFC9F" w14:textId="77777777" w:rsidR="00CA2FD5" w:rsidRPr="00CA2FD5" w:rsidRDefault="00CA2FD5" w:rsidP="00CA2FD5">
            <w:pPr>
              <w:widowControl w:val="0"/>
              <w:spacing w:before="1" w:after="0"/>
              <w:ind w:hanging="2"/>
              <w:jc w:val="center"/>
              <w:rPr>
                <w:rFonts w:ascii="Arial" w:eastAsia="Arial" w:hAnsi="Arial" w:cs="Arial"/>
                <w:sz w:val="24"/>
                <w:szCs w:val="24"/>
                <w:highlight w:val="white"/>
                <w:lang w:val="es-ES"/>
              </w:rPr>
            </w:pPr>
            <w:r w:rsidRPr="00CA2FD5">
              <w:rPr>
                <w:rFonts w:ascii="Arial" w:eastAsia="Arial" w:hAnsi="Arial" w:cs="Arial"/>
                <w:sz w:val="24"/>
                <w:szCs w:val="24"/>
                <w:highlight w:val="white"/>
                <w:lang w:val="es-ES"/>
              </w:rPr>
              <w:t>07/03/2023</w:t>
            </w:r>
          </w:p>
        </w:tc>
      </w:tr>
      <w:tr w:rsidR="00CA2FD5" w:rsidRPr="00CA2FD5" w14:paraId="0E7842EE" w14:textId="77777777" w:rsidTr="00CA2FD5">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5253F75"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02</w:t>
            </w:r>
          </w:p>
        </w:tc>
        <w:tc>
          <w:tcPr>
            <w:tcW w:w="3402" w:type="dxa"/>
            <w:tcBorders>
              <w:top w:val="single" w:sz="4" w:space="0" w:color="000000"/>
              <w:left w:val="single" w:sz="4" w:space="0" w:color="000000"/>
              <w:bottom w:val="single" w:sz="4" w:space="0" w:color="000000"/>
              <w:right w:val="single" w:sz="4" w:space="0" w:color="000000"/>
            </w:tcBorders>
            <w:vAlign w:val="center"/>
          </w:tcPr>
          <w:p w14:paraId="610055D3"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Se actualiza 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4E97630"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Geraldine Basto Valencia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7F6E9" w14:textId="6746C4B1" w:rsidR="00CA2FD5" w:rsidRPr="00CA2FD5" w:rsidRDefault="00121653" w:rsidP="00CA2FD5">
            <w:pPr>
              <w:widowControl w:val="0"/>
              <w:spacing w:after="0"/>
              <w:ind w:hanging="2"/>
              <w:jc w:val="center"/>
              <w:rPr>
                <w:rFonts w:ascii="Arial" w:eastAsia="Arial" w:hAnsi="Arial" w:cs="Arial"/>
                <w:sz w:val="24"/>
                <w:szCs w:val="24"/>
                <w:lang w:val="es-ES"/>
              </w:rPr>
            </w:pPr>
            <w:r>
              <w:rPr>
                <w:rFonts w:ascii="Arial" w:eastAsia="Arial" w:hAnsi="Arial" w:cs="Arial"/>
                <w:sz w:val="24"/>
                <w:szCs w:val="24"/>
                <w:lang w:val="es-ES"/>
              </w:rPr>
              <w:t>24/04</w:t>
            </w:r>
            <w:r w:rsidR="00CA2FD5" w:rsidRPr="00CA2FD5">
              <w:rPr>
                <w:rFonts w:ascii="Arial" w:eastAsia="Arial" w:hAnsi="Arial" w:cs="Arial"/>
                <w:sz w:val="24"/>
                <w:szCs w:val="24"/>
                <w:lang w:val="es-ES"/>
              </w:rPr>
              <w:t>/2025</w:t>
            </w:r>
          </w:p>
        </w:tc>
      </w:tr>
    </w:tbl>
    <w:p w14:paraId="36AC68B9" w14:textId="77777777" w:rsidR="00CA2FD5" w:rsidRPr="00CA2FD5" w:rsidRDefault="00CA2FD5" w:rsidP="00CA2FD5">
      <w:pPr>
        <w:widowControl w:val="0"/>
        <w:spacing w:after="0"/>
        <w:ind w:hanging="2"/>
        <w:rPr>
          <w:rFonts w:ascii="Arial" w:eastAsia="Arial" w:hAnsi="Arial" w:cs="Arial"/>
          <w:sz w:val="24"/>
          <w:szCs w:val="24"/>
          <w:lang w:val="es-ES"/>
        </w:rPr>
      </w:pPr>
    </w:p>
    <w:bookmarkEnd w:id="0"/>
    <w:p w14:paraId="0F3A46E5" w14:textId="77777777" w:rsidR="00CA2FD5" w:rsidRPr="00CA2FD5" w:rsidRDefault="00CA2FD5" w:rsidP="00CA2FD5">
      <w:pPr>
        <w:widowControl w:val="0"/>
        <w:spacing w:after="0" w:line="240" w:lineRule="auto"/>
        <w:rPr>
          <w:rFonts w:ascii="Arial" w:eastAsia="Arial" w:hAnsi="Arial" w:cs="Arial"/>
          <w:lang w:val="es-ES"/>
        </w:rPr>
      </w:pPr>
    </w:p>
    <w:p w14:paraId="3696AAA2" w14:textId="3DCC0A78" w:rsidR="006865D2" w:rsidRPr="008E5D8B" w:rsidRDefault="006865D2">
      <w:pPr>
        <w:jc w:val="both"/>
        <w:rPr>
          <w:rFonts w:ascii="Arial" w:eastAsia="Arial" w:hAnsi="Arial" w:cs="Arial"/>
          <w:sz w:val="24"/>
          <w:szCs w:val="24"/>
        </w:rPr>
      </w:pPr>
    </w:p>
    <w:sectPr w:rsidR="006865D2" w:rsidRPr="008E5D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9946" w14:textId="77777777" w:rsidR="00036293" w:rsidRDefault="00036293">
      <w:pPr>
        <w:spacing w:after="0" w:line="240" w:lineRule="auto"/>
      </w:pPr>
      <w:r>
        <w:separator/>
      </w:r>
    </w:p>
  </w:endnote>
  <w:endnote w:type="continuationSeparator" w:id="0">
    <w:p w14:paraId="4343DC5A" w14:textId="77777777" w:rsidR="00036293" w:rsidRDefault="0003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B29"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5A61" w14:textId="77777777" w:rsidR="006865D2" w:rsidRDefault="00F50145">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C74CEB">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D965"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B2C8" w14:textId="77777777" w:rsidR="00036293" w:rsidRDefault="00036293">
      <w:pPr>
        <w:spacing w:after="0" w:line="240" w:lineRule="auto"/>
      </w:pPr>
      <w:r>
        <w:separator/>
      </w:r>
    </w:p>
  </w:footnote>
  <w:footnote w:type="continuationSeparator" w:id="0">
    <w:p w14:paraId="31A9EE33" w14:textId="77777777" w:rsidR="00036293" w:rsidRDefault="0003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40A"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137" w:type="dxa"/>
      <w:tblLayout w:type="fixed"/>
      <w:tblLook w:val="0400" w:firstRow="0" w:lastRow="0" w:firstColumn="0" w:lastColumn="0" w:noHBand="0" w:noVBand="1"/>
    </w:tblPr>
    <w:tblGrid>
      <w:gridCol w:w="1985"/>
      <w:gridCol w:w="3969"/>
      <w:gridCol w:w="1275"/>
      <w:gridCol w:w="1701"/>
    </w:tblGrid>
    <w:tr w:rsidR="00C74CEB" w:rsidRPr="00C74CEB" w14:paraId="655FDD6D" w14:textId="77777777" w:rsidTr="009627CF">
      <w:trPr>
        <w:trHeight w:val="55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F1C" w14:textId="78D4ADA1" w:rsidR="00C74CEB" w:rsidRPr="00C74CEB" w:rsidRDefault="00C74CEB" w:rsidP="00C74CEB">
          <w:pPr>
            <w:widowControl w:val="0"/>
            <w:spacing w:after="0" w:line="240" w:lineRule="auto"/>
            <w:rPr>
              <w:rFonts w:ascii="Arial" w:eastAsia="Arial" w:hAnsi="Arial" w:cs="Arial"/>
              <w:sz w:val="15"/>
              <w:szCs w:val="15"/>
              <w:lang w:val="es-ES"/>
            </w:rPr>
          </w:pPr>
          <w:bookmarkStart w:id="1" w:name="_Hlk190877514"/>
        </w:p>
        <w:p w14:paraId="71648539" w14:textId="76C21112" w:rsidR="00C74CEB" w:rsidRPr="00C74CEB" w:rsidRDefault="00121653" w:rsidP="00C74CEB">
          <w:pPr>
            <w:widowControl w:val="0"/>
            <w:spacing w:after="0" w:line="240" w:lineRule="auto"/>
            <w:rPr>
              <w:rFonts w:ascii="Arial" w:eastAsia="Arial" w:hAnsi="Arial" w:cs="Arial"/>
              <w:sz w:val="15"/>
              <w:szCs w:val="15"/>
              <w:lang w:val="es-ES"/>
            </w:rPr>
          </w:pPr>
          <w:r>
            <w:rPr>
              <w:noProof/>
            </w:rPr>
            <w:drawing>
              <wp:anchor distT="0" distB="0" distL="114300" distR="114300" simplePos="0" relativeHeight="251659264" behindDoc="1" locked="0" layoutInCell="1" allowOverlap="1" wp14:anchorId="0E15D721" wp14:editId="52967A24">
                <wp:simplePos x="0" y="0"/>
                <wp:positionH relativeFrom="column">
                  <wp:posOffset>-7620</wp:posOffset>
                </wp:positionH>
                <wp:positionV relativeFrom="paragraph">
                  <wp:posOffset>188595</wp:posOffset>
                </wp:positionV>
                <wp:extent cx="1148715" cy="409575"/>
                <wp:effectExtent l="0" t="0" r="0" b="9525"/>
                <wp:wrapNone/>
                <wp:docPr id="1"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anchor>
            </w:drawing>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7C5E2"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lang w:val="es-ES"/>
            </w:rPr>
            <w:t>GESTIÓN SIG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316A"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Código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7FD4" w14:textId="2A786432"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sz w:val="20"/>
              <w:szCs w:val="20"/>
            </w:rPr>
            <w:t>P-SIG-SST-PROC -02</w:t>
          </w:r>
        </w:p>
      </w:tc>
    </w:tr>
    <w:tr w:rsidR="00C74CEB" w:rsidRPr="00C74CEB" w14:paraId="00DA45B2" w14:textId="77777777" w:rsidTr="009627CF">
      <w:trPr>
        <w:trHeight w:val="364"/>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90B7"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8876" w14:textId="77777777" w:rsidR="00C74CEB" w:rsidRPr="00C74CEB" w:rsidRDefault="00C74CEB" w:rsidP="00C74CEB">
          <w:pPr>
            <w:widowControl w:val="0"/>
            <w:pBdr>
              <w:top w:val="nil"/>
              <w:left w:val="nil"/>
              <w:bottom w:val="nil"/>
              <w:right w:val="nil"/>
              <w:between w:val="nil"/>
            </w:pBdr>
            <w:spacing w:after="0"/>
            <w:ind w:hanging="2"/>
            <w:rPr>
              <w:rFonts w:ascii="Arial" w:eastAsia="Arial" w:hAnsi="Arial" w:cs="Arial"/>
              <w:sz w:val="20"/>
              <w:szCs w:val="20"/>
              <w:lang w:val="es-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D163"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Versión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977C"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color w:val="000000"/>
              <w:lang w:val="es-ES"/>
            </w:rPr>
            <w:t>0</w:t>
          </w:r>
          <w:r w:rsidRPr="00C74CEB">
            <w:rPr>
              <w:rFonts w:ascii="Arial" w:eastAsia="Arial" w:hAnsi="Arial" w:cs="Arial"/>
              <w:lang w:val="es-ES"/>
            </w:rPr>
            <w:t>2</w:t>
          </w:r>
        </w:p>
      </w:tc>
    </w:tr>
    <w:tr w:rsidR="00C74CEB" w:rsidRPr="00C74CEB" w14:paraId="62B5B6AA" w14:textId="77777777" w:rsidTr="009627CF">
      <w:trPr>
        <w:trHeight w:val="495"/>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6261"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AFD3B" w14:textId="6422AA66" w:rsidR="00C74CEB" w:rsidRPr="00C74CEB" w:rsidRDefault="00C74CEB" w:rsidP="00C74CEB">
          <w:pPr>
            <w:widowControl w:val="0"/>
            <w:spacing w:after="0"/>
            <w:ind w:hanging="2"/>
            <w:jc w:val="center"/>
            <w:rPr>
              <w:rFonts w:ascii="Arial" w:eastAsia="Arial" w:hAnsi="Arial" w:cs="Arial"/>
              <w:b/>
              <w:sz w:val="20"/>
              <w:szCs w:val="20"/>
              <w:lang w:val="es-ES"/>
            </w:rPr>
          </w:pPr>
          <w:r>
            <w:rPr>
              <w:rFonts w:ascii="Arial" w:eastAsia="Arial" w:hAnsi="Arial" w:cs="Arial"/>
              <w:b/>
              <w:sz w:val="24"/>
              <w:szCs w:val="24"/>
            </w:rPr>
            <w:t>PROGRAMA DE RIESGO PSICOSOCIAL</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18525"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Fecha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A593" w14:textId="64F08D8B" w:rsidR="00C74CEB" w:rsidRPr="00C74CEB" w:rsidRDefault="00121653"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lang w:val="es-ES"/>
            </w:rPr>
            <w:t>24/04</w:t>
          </w:r>
          <w:r w:rsidR="00C74CEB" w:rsidRPr="00C74CEB">
            <w:rPr>
              <w:rFonts w:ascii="Arial" w:eastAsia="Arial" w:hAnsi="Arial" w:cs="Arial"/>
              <w:lang w:val="es-ES"/>
            </w:rPr>
            <w:t>/2025</w:t>
          </w:r>
        </w:p>
      </w:tc>
    </w:tr>
    <w:bookmarkEnd w:id="1"/>
  </w:tbl>
  <w:p w14:paraId="09ECE92A" w14:textId="77777777" w:rsidR="006865D2" w:rsidRDefault="006865D2">
    <w:pPr>
      <w:widowControl w:val="0"/>
      <w:spacing w:after="0"/>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D7D"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BBD"/>
    <w:multiLevelType w:val="multilevel"/>
    <w:tmpl w:val="36282C32"/>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4B220D4B"/>
    <w:multiLevelType w:val="multilevel"/>
    <w:tmpl w:val="711EF9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D06A4E"/>
    <w:multiLevelType w:val="multilevel"/>
    <w:tmpl w:val="E74836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799517B"/>
    <w:multiLevelType w:val="multilevel"/>
    <w:tmpl w:val="BD281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FB63F6"/>
    <w:multiLevelType w:val="multilevel"/>
    <w:tmpl w:val="396079C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5F6D2C43"/>
    <w:multiLevelType w:val="multilevel"/>
    <w:tmpl w:val="8B0E4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652012"/>
    <w:multiLevelType w:val="hybridMultilevel"/>
    <w:tmpl w:val="34F05B7C"/>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D2"/>
    <w:rsid w:val="00036293"/>
    <w:rsid w:val="00121653"/>
    <w:rsid w:val="001373B6"/>
    <w:rsid w:val="006865D2"/>
    <w:rsid w:val="006A09DF"/>
    <w:rsid w:val="008E47ED"/>
    <w:rsid w:val="008E5D8B"/>
    <w:rsid w:val="009627CF"/>
    <w:rsid w:val="00B71E33"/>
    <w:rsid w:val="00C74CEB"/>
    <w:rsid w:val="00CA2FD5"/>
    <w:rsid w:val="00D75F4C"/>
    <w:rsid w:val="00F50145"/>
    <w:rsid w:val="00F77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11E2"/>
  <w15:docId w15:val="{9092B462-835A-4179-B265-843D7B7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Xgnd9J3LJ8md4n9MWoBflUO9g==">CgMxLjA4AHIhMXdNQzJnVDZGVW1DN25kQlJjNmx3YVlGeDNfRXgycEVn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2711</Words>
  <Characters>14913</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GERALDINE BASTO VALENCIA</cp:lastModifiedBy>
  <cp:revision>8</cp:revision>
  <dcterms:created xsi:type="dcterms:W3CDTF">2022-07-26T13:57:00Z</dcterms:created>
  <dcterms:modified xsi:type="dcterms:W3CDTF">2025-06-05T20:49:00Z</dcterms:modified>
</cp:coreProperties>
</file>