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5"/>
        </w:numPr>
        <w:spacing w:after="493" w:line="265" w:lineRule="auto"/>
        <w:ind w:left="244" w:hanging="244"/>
        <w:jc w:val="left"/>
        <w:rPr/>
      </w:pPr>
      <w:r w:rsidDel="00000000" w:rsidR="00000000" w:rsidRPr="00000000">
        <w:rPr>
          <w:b w:val="1"/>
          <w:rtl w:val="0"/>
        </w:rPr>
        <w:t xml:space="preserve">OBJETIVO.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94" w:lineRule="auto"/>
        <w:ind w:left="-5" w:firstLine="0"/>
        <w:rPr/>
      </w:pPr>
      <w:r w:rsidDel="00000000" w:rsidR="00000000" w:rsidRPr="00000000">
        <w:rPr>
          <w:rtl w:val="0"/>
        </w:rPr>
        <w:t xml:space="preserve">Establecer de manera eficiente los criterios y responsabilidades para difundir y consultar la información y comunicación interna entre los diferentes niveles de la compañía, además de documentar y responder a las comunicaciones relevantes de las partes interesadas y recibir la retroalimentación de la política, los objetivos de calidad, los requisitos, los resultados y toda la información concerniente al Sistema de Integrado de Gestión (SIG) y la organización.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line="265" w:lineRule="auto"/>
        <w:ind w:left="244" w:hanging="244"/>
        <w:jc w:val="left"/>
        <w:rPr/>
      </w:pPr>
      <w:r w:rsidDel="00000000" w:rsidR="00000000" w:rsidRPr="00000000">
        <w:rPr>
          <w:b w:val="1"/>
          <w:rtl w:val="0"/>
        </w:rPr>
        <w:t xml:space="preserve">ALCANCE.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94" w:lineRule="auto"/>
        <w:ind w:left="-5" w:firstLine="0"/>
        <w:rPr/>
      </w:pPr>
      <w:r w:rsidDel="00000000" w:rsidR="00000000" w:rsidRPr="00000000">
        <w:rPr>
          <w:rtl w:val="0"/>
        </w:rPr>
        <w:t xml:space="preserve">Aplica a toda la información relativa al SIG y en todos los niveles y canales de la organización y partes interesadas El alcance de este procedimiento incluye la comunicación tanto en el sentido vertical, como el flujo de información a nivel horizontal entre las distintas áreas y/o funciones internas, consulta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65" w:lineRule="auto"/>
        <w:ind w:left="244" w:hanging="244"/>
        <w:jc w:val="left"/>
        <w:rPr/>
      </w:pPr>
      <w:r w:rsidDel="00000000" w:rsidR="00000000" w:rsidRPr="00000000">
        <w:rPr>
          <w:b w:val="1"/>
          <w:rtl w:val="0"/>
        </w:rPr>
        <w:t xml:space="preserve">DOCUMENTACIÓN DE REFERENCIA.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ISO 9001:2015, 7.4 Comunicación interna,</w:t>
      </w:r>
    </w:p>
    <w:p w:rsidR="00000000" w:rsidDel="00000000" w:rsidP="00000000" w:rsidRDefault="00000000" w:rsidRPr="00000000" w14:paraId="00000007">
      <w:pPr>
        <w:ind w:left="-5" w:firstLine="0"/>
        <w:rPr/>
      </w:pPr>
      <w:r w:rsidDel="00000000" w:rsidR="00000000" w:rsidRPr="00000000">
        <w:rPr>
          <w:rtl w:val="0"/>
        </w:rPr>
        <w:t xml:space="preserve">ISO 45001: 7.4 Comunicación</w:t>
      </w:r>
    </w:p>
    <w:p w:rsidR="00000000" w:rsidDel="00000000" w:rsidP="00000000" w:rsidRDefault="00000000" w:rsidRPr="00000000" w14:paraId="00000008">
      <w:pPr>
        <w:spacing w:after="495" w:lineRule="auto"/>
        <w:ind w:left="-5" w:firstLine="0"/>
        <w:rPr/>
      </w:pPr>
      <w:r w:rsidDel="00000000" w:rsidR="00000000" w:rsidRPr="00000000">
        <w:rPr>
          <w:rtl w:val="0"/>
        </w:rPr>
        <w:t xml:space="preserve">ISO 39001:7.5 Comunicación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433" w:line="265" w:lineRule="auto"/>
        <w:ind w:left="244" w:hanging="244"/>
        <w:jc w:val="left"/>
        <w:rPr/>
      </w:pPr>
      <w:r w:rsidDel="00000000" w:rsidR="00000000" w:rsidRPr="00000000">
        <w:rPr>
          <w:b w:val="1"/>
          <w:rtl w:val="0"/>
        </w:rPr>
        <w:t xml:space="preserve">DEFINICIONES.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54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SISTEMA DE COMUNICACIÓN: </w:t>
      </w:r>
      <w:r w:rsidDel="00000000" w:rsidR="00000000" w:rsidRPr="00000000">
        <w:rPr>
          <w:rtl w:val="0"/>
        </w:rPr>
        <w:t xml:space="preserve">La comunicación es el conjunto de los procesos físicos, psíquicos y sociales mediante los cuales, se efectúa la operación de interrelacionar una o varias personas (Emisor) con una u otras personas (Receptor), buscando alcanzar determinados objetivos mediante una respuesta eficaz, a través de diferentes medios.</w:t>
      </w:r>
    </w:p>
    <w:p w:rsidR="00000000" w:rsidDel="00000000" w:rsidP="00000000" w:rsidRDefault="00000000" w:rsidRPr="00000000" w14:paraId="0000000B">
      <w:pPr>
        <w:spacing w:after="281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COMUNICACIÓN CORPORATIVA: </w:t>
      </w:r>
      <w:r w:rsidDel="00000000" w:rsidR="00000000" w:rsidRPr="00000000">
        <w:rPr>
          <w:rtl w:val="0"/>
        </w:rPr>
        <w:t xml:space="preserve">La Comunicación Corporativa es el conjunto de mensajes que una institución proyecta a un público determinado a fin de dar a conocer su misión y visión, y lograr establecer una empatía entre ambos.</w:t>
      </w:r>
    </w:p>
    <w:p w:rsidR="00000000" w:rsidDel="00000000" w:rsidP="00000000" w:rsidRDefault="00000000" w:rsidRPr="00000000" w14:paraId="0000000C">
      <w:pPr>
        <w:spacing w:after="281" w:lineRule="auto"/>
        <w:ind w:left="-5" w:firstLine="0"/>
        <w:rPr/>
      </w:pPr>
      <w:r w:rsidDel="00000000" w:rsidR="00000000" w:rsidRPr="00000000">
        <w:rPr>
          <w:rtl w:val="0"/>
        </w:rPr>
        <w:t xml:space="preserve">La Comunicación Corporativa tiene que ser dinámica, planificada y concreta, constituyéndose en una herramienta de dirección u orientación sinérgica, basada en una retroalimentación constante.</w:t>
      </w:r>
    </w:p>
    <w:p w:rsidR="00000000" w:rsidDel="00000000" w:rsidP="00000000" w:rsidRDefault="00000000" w:rsidRPr="00000000" w14:paraId="0000000D">
      <w:pPr>
        <w:ind w:left="-5" w:firstLine="0"/>
        <w:rPr/>
      </w:pPr>
      <w:r w:rsidDel="00000000" w:rsidR="00000000" w:rsidRPr="00000000">
        <w:rPr>
          <w:b w:val="1"/>
          <w:rtl w:val="0"/>
        </w:rPr>
        <w:t xml:space="preserve">COMUNICACIÒN INTERNA: </w:t>
      </w:r>
      <w:r w:rsidDel="00000000" w:rsidR="00000000" w:rsidRPr="00000000">
        <w:rPr>
          <w:rtl w:val="0"/>
        </w:rPr>
        <w:t xml:space="preserve">es aquella información del SGC que debe transmitir a cada una de las personas de la compañía. La comunicación interna está determinada por la interrelación que se desarrolla entre el personal de la institución.</w:t>
      </w:r>
    </w:p>
    <w:p w:rsidR="00000000" w:rsidDel="00000000" w:rsidP="00000000" w:rsidRDefault="00000000" w:rsidRPr="00000000" w14:paraId="0000000E">
      <w:pPr>
        <w:spacing w:after="281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EMISOR: </w:t>
      </w:r>
      <w:r w:rsidDel="00000000" w:rsidR="00000000" w:rsidRPr="00000000">
        <w:rPr>
          <w:rtl w:val="0"/>
        </w:rPr>
        <w:t xml:space="preserve">es aquel objeto que codifica el mensaje y lo transmite por medio de un canal o medio hasta un receptor, perceptor y/u observador</w:t>
      </w:r>
    </w:p>
    <w:p w:rsidR="00000000" w:rsidDel="00000000" w:rsidP="00000000" w:rsidRDefault="00000000" w:rsidRPr="00000000" w14:paraId="0000000F">
      <w:pPr>
        <w:spacing w:after="282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RECEPTOR: </w:t>
      </w:r>
      <w:r w:rsidDel="00000000" w:rsidR="00000000" w:rsidRPr="00000000">
        <w:rPr>
          <w:rtl w:val="0"/>
        </w:rPr>
        <w:t xml:space="preserve">Información transmitida</w:t>
      </w:r>
    </w:p>
    <w:p w:rsidR="00000000" w:rsidDel="00000000" w:rsidP="00000000" w:rsidRDefault="00000000" w:rsidRPr="00000000" w14:paraId="00000010">
      <w:pPr>
        <w:spacing w:after="282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MENSAJE: </w:t>
      </w:r>
      <w:r w:rsidDel="00000000" w:rsidR="00000000" w:rsidRPr="00000000">
        <w:rPr>
          <w:rtl w:val="0"/>
        </w:rPr>
        <w:t xml:space="preserve">El que recibe el mensaje.</w:t>
      </w:r>
    </w:p>
    <w:p w:rsidR="00000000" w:rsidDel="00000000" w:rsidP="00000000" w:rsidRDefault="00000000" w:rsidRPr="00000000" w14:paraId="00000011">
      <w:pPr>
        <w:spacing w:after="281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CANAL: </w:t>
      </w:r>
      <w:r w:rsidDel="00000000" w:rsidR="00000000" w:rsidRPr="00000000">
        <w:rPr>
          <w:rtl w:val="0"/>
        </w:rPr>
        <w:t xml:space="preserve">Es el medio a través del cual se emite el mensaje. Habitualmente se utiliza el oral-auditivo y el gráfico-visual complementándose</w:t>
      </w:r>
    </w:p>
    <w:p w:rsidR="00000000" w:rsidDel="00000000" w:rsidP="00000000" w:rsidRDefault="00000000" w:rsidRPr="00000000" w14:paraId="00000012">
      <w:pPr>
        <w:spacing w:after="493" w:line="265" w:lineRule="auto"/>
        <w:ind w:left="-5" w:firstLine="0"/>
        <w:jc w:val="left"/>
        <w:rPr/>
      </w:pPr>
      <w:r w:rsidDel="00000000" w:rsidR="00000000" w:rsidRPr="00000000">
        <w:rPr>
          <w:b w:val="1"/>
          <w:rtl w:val="0"/>
        </w:rPr>
        <w:t xml:space="preserve">5. REALIZACIÓN.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Realizar una reunión con el fin de definir, revisar, analizar y evaluar la información y su forma de difusión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Definir los lineamientos para la elaboración de los materiales y medios a comunicar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Elaborar y validar propuesta de comunicación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Solicitar, en caso de ser necesario la reproducción de materiales, y realizar el requerimiento al proveedor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tl w:val="0"/>
        </w:rPr>
        <w:t xml:space="preserve">Publicación de las comunicaciones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495" w:lineRule="auto"/>
        <w:ind w:left="720" w:hanging="720"/>
        <w:rPr/>
      </w:pPr>
      <w:r w:rsidDel="00000000" w:rsidR="00000000" w:rsidRPr="00000000">
        <w:rPr>
          <w:rtl w:val="0"/>
        </w:rPr>
        <w:t xml:space="preserve">Distribución de la información a los involucrados para su divulgación</w:t>
      </w:r>
    </w:p>
    <w:p w:rsidR="00000000" w:rsidDel="00000000" w:rsidP="00000000" w:rsidRDefault="00000000" w:rsidRPr="00000000" w14:paraId="00000019">
      <w:pPr>
        <w:spacing w:line="265" w:lineRule="auto"/>
        <w:ind w:left="-5" w:firstLine="0"/>
        <w:jc w:val="left"/>
        <w:rPr/>
      </w:pPr>
      <w:r w:rsidDel="00000000" w:rsidR="00000000" w:rsidRPr="00000000">
        <w:rPr>
          <w:b w:val="1"/>
          <w:rtl w:val="0"/>
        </w:rPr>
        <w:t xml:space="preserve">5.1. Formas de Comunicación: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0" w:hanging="10"/>
        <w:rPr/>
      </w:pPr>
      <w:r w:rsidDel="00000000" w:rsidR="00000000" w:rsidRPr="00000000">
        <w:rPr>
          <w:b w:val="1"/>
          <w:rtl w:val="0"/>
        </w:rPr>
        <w:t xml:space="preserve">Carteleras: </w:t>
      </w:r>
      <w:r w:rsidDel="00000000" w:rsidR="00000000" w:rsidRPr="00000000">
        <w:rPr>
          <w:rtl w:val="0"/>
        </w:rPr>
        <w:t xml:space="preserve">Se dispondrán las carteleras informativas en un lugar visible en las cuales se publique toda la información de interés general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0" w:hanging="10"/>
        <w:rPr/>
      </w:pPr>
      <w:r w:rsidDel="00000000" w:rsidR="00000000" w:rsidRPr="00000000">
        <w:rPr>
          <w:b w:val="1"/>
          <w:rtl w:val="0"/>
        </w:rPr>
        <w:t xml:space="preserve">Correo Electrónico: </w:t>
      </w:r>
      <w:r w:rsidDel="00000000" w:rsidR="00000000" w:rsidRPr="00000000">
        <w:rPr>
          <w:rtl w:val="0"/>
        </w:rPr>
        <w:t xml:space="preserve">Todo el personal posee una cuenta de correo electrónico institucional, por medio del cual recibe y/o envía la información relacionada con el SIG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0" w:hanging="10"/>
        <w:rPr/>
      </w:pPr>
      <w:r w:rsidDel="00000000" w:rsidR="00000000" w:rsidRPr="00000000">
        <w:rPr>
          <w:b w:val="1"/>
          <w:rtl w:val="0"/>
        </w:rPr>
        <w:t xml:space="preserve">Comunicación escrita entre las áreas: </w:t>
      </w:r>
      <w:r w:rsidDel="00000000" w:rsidR="00000000" w:rsidRPr="00000000">
        <w:rPr>
          <w:rtl w:val="0"/>
        </w:rPr>
        <w:t xml:space="preserve">las áreas, según sus necesidades manejan otro tipo de documentación como circulares, memorandos, etc.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0" w:hanging="10"/>
        <w:rPr/>
      </w:pPr>
      <w:r w:rsidDel="00000000" w:rsidR="00000000" w:rsidRPr="00000000">
        <w:rPr>
          <w:b w:val="1"/>
          <w:rtl w:val="0"/>
        </w:rPr>
        <w:t xml:space="preserve">Reuniones y Comités: </w:t>
      </w:r>
      <w:r w:rsidDel="00000000" w:rsidR="00000000" w:rsidRPr="00000000">
        <w:rPr>
          <w:rtl w:val="0"/>
        </w:rPr>
        <w:t xml:space="preserve">Siempre que se realiza una reunión o comité queda un acta como registro de la información transmitida a los participantes y que se da a conocer a todos los involucrados en los temas tratados.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627" w:lineRule="auto"/>
        <w:ind w:left="10" w:hanging="10"/>
        <w:rPr/>
      </w:pPr>
      <w:r w:rsidDel="00000000" w:rsidR="00000000" w:rsidRPr="00000000">
        <w:rPr>
          <w:b w:val="1"/>
          <w:rtl w:val="0"/>
        </w:rPr>
        <w:t xml:space="preserve">Software Control Gestión KOIOS: </w:t>
      </w:r>
      <w:r w:rsidDel="00000000" w:rsidR="00000000" w:rsidRPr="00000000">
        <w:rPr>
          <w:rtl w:val="0"/>
        </w:rPr>
        <w:t xml:space="preserve">es una plataforma que sirve de apoyo al desarrollo de los procesos de cada área.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253" w:line="265" w:lineRule="auto"/>
        <w:ind w:left="1209" w:hanging="489.00000000000006"/>
        <w:jc w:val="left"/>
        <w:rPr/>
      </w:pPr>
      <w:r w:rsidDel="00000000" w:rsidR="00000000" w:rsidRPr="00000000">
        <w:rPr>
          <w:b w:val="1"/>
          <w:rtl w:val="0"/>
        </w:rPr>
        <w:t xml:space="preserve">Difusión y entendimiento de la política y objetivos de la calidad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" w:firstLine="0"/>
        <w:rPr/>
      </w:pPr>
      <w:r w:rsidDel="00000000" w:rsidR="00000000" w:rsidRPr="00000000">
        <w:rPr>
          <w:rtl w:val="0"/>
        </w:rPr>
        <w:t xml:space="preserve">La Gerencia y el responsable del SIG se asegura que la política y los objetivos de calidad sean difundidos y comprendidos por todos los empleados de la organización, utilizando los medios de comunicación más adecuados como son: el proceso de inducción y avisos colocados en lugares visibles, entre otros.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253" w:line="265" w:lineRule="auto"/>
        <w:ind w:left="1209" w:hanging="489.00000000000006"/>
        <w:jc w:val="left"/>
        <w:rPr/>
      </w:pPr>
      <w:r w:rsidDel="00000000" w:rsidR="00000000" w:rsidRPr="00000000">
        <w:rPr>
          <w:b w:val="1"/>
          <w:rtl w:val="0"/>
        </w:rPr>
        <w:t xml:space="preserve">Difusión de los requisitos del sistema y de los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54" w:lineRule="auto"/>
        <w:ind w:left="-5" w:firstLine="0"/>
        <w:rPr/>
      </w:pPr>
      <w:r w:rsidDel="00000000" w:rsidR="00000000" w:rsidRPr="00000000">
        <w:rPr>
          <w:rtl w:val="0"/>
        </w:rPr>
        <w:t xml:space="preserve">Basándose en los resultados de las revisiones de la Gerencia al SIG difunde formalmente la información de los requisitos específicos del sistema a cada responsable de las áreas para el involucramiento de su personal.</w:t>
      </w:r>
    </w:p>
    <w:p w:rsidR="00000000" w:rsidDel="00000000" w:rsidP="00000000" w:rsidRDefault="00000000" w:rsidRPr="00000000" w14:paraId="00000023">
      <w:pPr>
        <w:spacing w:after="507" w:lineRule="auto"/>
        <w:ind w:left="-5" w:firstLine="0"/>
        <w:rPr/>
      </w:pPr>
      <w:r w:rsidDel="00000000" w:rsidR="00000000" w:rsidRPr="00000000">
        <w:rPr>
          <w:rtl w:val="0"/>
        </w:rPr>
        <w:t xml:space="preserve">En coordinación con el Gerente General y los dueños de proceso, difunde a todos los empleados los requisitos, las expectativas y el nivel de satisfacción de los clientes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253" w:line="265" w:lineRule="auto"/>
        <w:ind w:left="1209" w:hanging="489.00000000000006"/>
        <w:jc w:val="left"/>
        <w:rPr/>
      </w:pPr>
      <w:r w:rsidDel="00000000" w:rsidR="00000000" w:rsidRPr="00000000">
        <w:rPr>
          <w:b w:val="1"/>
          <w:rtl w:val="0"/>
        </w:rPr>
        <w:t xml:space="preserve">Difusión de información de capacitación y cambios organizacionales.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68" w:lineRule="auto"/>
        <w:ind w:left="-5" w:firstLine="0"/>
        <w:rPr/>
      </w:pPr>
      <w:r w:rsidDel="00000000" w:rsidR="00000000" w:rsidRPr="00000000">
        <w:rPr>
          <w:rtl w:val="0"/>
        </w:rPr>
        <w:t xml:space="preserve">Es responsable de publicar los comunicados, invitaciones a cursos, talleres, entre otros, el personal que tenga injerencia dentro del SIG, realizados en la estructura organizacional mediante comunicados, según sea aplicable y en su respectivo organigrama.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253" w:line="265" w:lineRule="auto"/>
        <w:ind w:left="1209" w:hanging="489.00000000000006"/>
        <w:jc w:val="left"/>
        <w:rPr/>
      </w:pPr>
      <w:r w:rsidDel="00000000" w:rsidR="00000000" w:rsidRPr="00000000">
        <w:rPr>
          <w:b w:val="1"/>
          <w:rtl w:val="0"/>
        </w:rPr>
        <w:t xml:space="preserve">Difusión de información de auditorías.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54" w:lineRule="auto"/>
        <w:ind w:left="-5" w:firstLine="0"/>
        <w:rPr/>
      </w:pPr>
      <w:r w:rsidDel="00000000" w:rsidR="00000000" w:rsidRPr="00000000">
        <w:rPr>
          <w:rtl w:val="0"/>
        </w:rPr>
        <w:t xml:space="preserve">Informa al personal de los resultados de las auditorías internas y externas a través de reuniones de cierre y de comités según sea apropiado.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253" w:line="265" w:lineRule="auto"/>
        <w:ind w:left="1209" w:hanging="489.00000000000006"/>
        <w:jc w:val="left"/>
        <w:rPr/>
      </w:pPr>
      <w:r w:rsidDel="00000000" w:rsidR="00000000" w:rsidRPr="00000000">
        <w:rPr>
          <w:b w:val="1"/>
          <w:rtl w:val="0"/>
        </w:rPr>
        <w:t xml:space="preserve">Comunicación de manuales, procedimientos e instrucciones.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9" w:lineRule="auto"/>
        <w:ind w:left="-5" w:firstLine="0"/>
        <w:rPr/>
      </w:pPr>
      <w:r w:rsidDel="00000000" w:rsidR="00000000" w:rsidRPr="00000000">
        <w:rPr>
          <w:rtl w:val="0"/>
        </w:rPr>
        <w:t xml:space="preserve">Los responsables de área involucran a su personal dándole a conocer el manual, procedimientos e instrucciones en reuniones y los ponen a disposición para su consulta.</w:t>
      </w:r>
    </w:p>
    <w:p w:rsidR="00000000" w:rsidDel="00000000" w:rsidP="00000000" w:rsidRDefault="00000000" w:rsidRPr="00000000" w14:paraId="0000002A">
      <w:pPr>
        <w:spacing w:after="254" w:lineRule="auto"/>
        <w:ind w:left="-5" w:firstLine="0"/>
        <w:rPr/>
      </w:pPr>
      <w:r w:rsidDel="00000000" w:rsidR="00000000" w:rsidRPr="00000000">
        <w:rPr>
          <w:rtl w:val="0"/>
        </w:rPr>
        <w:t xml:space="preserve">La comunicación de Gerencia General, Clientes, Proveedores y otras partes interesadas, se hacen por los canales adecuados, en tiempo y forma, guardando cuando lo considere, evidencia documentada de la misma.</w:t>
      </w:r>
    </w:p>
    <w:p w:rsidR="00000000" w:rsidDel="00000000" w:rsidP="00000000" w:rsidRDefault="00000000" w:rsidRPr="00000000" w14:paraId="0000002B">
      <w:pPr>
        <w:spacing w:after="760" w:lineRule="auto"/>
        <w:ind w:left="-5" w:firstLine="0"/>
        <w:rPr/>
      </w:pPr>
      <w:r w:rsidDel="00000000" w:rsidR="00000000" w:rsidRPr="00000000">
        <w:rPr>
          <w:rtl w:val="0"/>
        </w:rPr>
        <w:t xml:space="preserve">La Organización deberá asegurar su comunicación de manera eficiente, dotando de recursos tecnológicos según se requiera a las áreas responsables; así como la capacitación requerida.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253" w:line="265" w:lineRule="auto"/>
        <w:ind w:left="1148" w:hanging="428"/>
        <w:jc w:val="left"/>
        <w:rPr/>
      </w:pPr>
      <w:r w:rsidDel="00000000" w:rsidR="00000000" w:rsidRPr="00000000">
        <w:rPr>
          <w:b w:val="1"/>
          <w:rtl w:val="0"/>
        </w:rPr>
        <w:t xml:space="preserve">Comunicación Externa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507" w:lineRule="auto"/>
        <w:ind w:left="-5" w:firstLine="0"/>
        <w:rPr/>
      </w:pPr>
      <w:r w:rsidDel="00000000" w:rsidR="00000000" w:rsidRPr="00000000">
        <w:rPr>
          <w:rtl w:val="0"/>
        </w:rPr>
        <w:t xml:space="preserve">La comunicación externa es recibida y registrada en la recepción, y se procede a su distribución a cada destinatario, quién a su vez realizará la correspondiente contestación, en caso de ser necesario.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253" w:line="265" w:lineRule="auto"/>
        <w:ind w:left="1148" w:hanging="428"/>
        <w:jc w:val="left"/>
        <w:rPr/>
      </w:pPr>
      <w:r w:rsidDel="00000000" w:rsidR="00000000" w:rsidRPr="00000000">
        <w:rPr>
          <w:b w:val="1"/>
          <w:rtl w:val="0"/>
        </w:rPr>
        <w:t xml:space="preserve">Revisión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1" w:lineRule="auto"/>
        <w:ind w:left="-5" w:firstLine="0"/>
        <w:rPr/>
      </w:pPr>
      <w:r w:rsidDel="00000000" w:rsidR="00000000" w:rsidRPr="00000000">
        <w:rPr>
          <w:rtl w:val="0"/>
        </w:rPr>
        <w:t xml:space="preserve">El sistema se revisará cada vez que este lo requiera.</w:t>
      </w:r>
    </w:p>
    <w:p w:rsidR="00000000" w:rsidDel="00000000" w:rsidP="00000000" w:rsidRDefault="00000000" w:rsidRPr="00000000" w14:paraId="00000030">
      <w:pPr>
        <w:spacing w:after="0" w:line="259" w:lineRule="auto"/>
        <w:ind w:left="225" w:firstLine="0"/>
        <w:jc w:val="left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4762501" cy="3303147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4750" y="2128425"/>
                          <a:ext cx="4762501" cy="3303147"/>
                          <a:chOff x="2964750" y="2128425"/>
                          <a:chExt cx="4762525" cy="3303150"/>
                        </a:xfrm>
                      </wpg:grpSpPr>
                      <wpg:grpSp>
                        <wpg:cNvGrpSpPr/>
                        <wpg:grpSpPr>
                          <a:xfrm>
                            <a:off x="2964750" y="2128427"/>
                            <a:ext cx="4762501" cy="3303147"/>
                            <a:chOff x="2964750" y="2128425"/>
                            <a:chExt cx="4762525" cy="330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964750" y="2128425"/>
                              <a:ext cx="4762525" cy="330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964750" y="2128427"/>
                              <a:ext cx="4762501" cy="3303147"/>
                              <a:chOff x="0" y="0"/>
                              <a:chExt cx="4762501" cy="3303147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762500" cy="330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828800" y="496584"/>
                                <a:ext cx="160972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95300"/>
                                <a:ext cx="523875" cy="260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238626" y="495300"/>
                                <a:ext cx="523875" cy="270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704850" y="0"/>
                                <a:ext cx="2038350" cy="2038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419350" y="189216"/>
                                <a:ext cx="1971675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71500" y="1101049"/>
                                <a:ext cx="1647825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752725" y="1336607"/>
                                <a:ext cx="1409700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1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495550" y="1512447"/>
                                <a:ext cx="1571625" cy="155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4" name="Shape 14"/>
                              <pic:cNvPicPr preferRelativeResize="0"/>
                            </pic:nvPicPr>
                            <pic:blipFill rotWithShape="1">
                              <a:blip r:embed="rId1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733425" y="1302897"/>
                                <a:ext cx="2000250" cy="200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876425" y="1979172"/>
                                <a:ext cx="1457325" cy="809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762501" cy="3303147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1" cy="33031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17" w:line="265" w:lineRule="auto"/>
        <w:ind w:left="-5" w:firstLine="0"/>
        <w:jc w:val="left"/>
        <w:rPr/>
      </w:pPr>
      <w:r w:rsidDel="00000000" w:rsidR="00000000" w:rsidRPr="00000000">
        <w:rPr>
          <w:b w:val="1"/>
          <w:rtl w:val="0"/>
        </w:rPr>
        <w:t xml:space="preserve">Ver matriz de comunicación participación y consulta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9.0" w:type="dxa"/>
        <w:tblLayout w:type="fixed"/>
        <w:tblLook w:val="0400"/>
      </w:tblPr>
      <w:tblGrid>
        <w:gridCol w:w="1540"/>
        <w:gridCol w:w="1560"/>
        <w:gridCol w:w="3520"/>
        <w:gridCol w:w="1600"/>
        <w:gridCol w:w="1140"/>
        <w:tblGridChange w:id="0">
          <w:tblGrid>
            <w:gridCol w:w="1540"/>
            <w:gridCol w:w="1560"/>
            <w:gridCol w:w="3520"/>
            <w:gridCol w:w="1600"/>
            <w:gridCol w:w="11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0" w:line="259" w:lineRule="auto"/>
              <w:ind w:left="387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 DE CAMBIOS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="259" w:lineRule="auto"/>
              <w:ind w:left="379" w:hanging="37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VERSIÓN DEL DOC.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59" w:lineRule="auto"/>
              <w:ind w:left="0" w:right="41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CAMBIO REALIZADO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59" w:lineRule="auto"/>
              <w:ind w:left="0" w:right="46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VIGENCIA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after="0" w:line="259" w:lineRule="auto"/>
              <w:ind w:left="0" w:firstLine="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NUEVA VERSIÓN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spacing w:after="0" w:line="259" w:lineRule="auto"/>
              <w:ind w:left="0" w:right="51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after="0" w:line="259" w:lineRule="auto"/>
              <w:ind w:left="0" w:right="46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03/01/2024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after="0" w:line="259" w:lineRule="auto"/>
              <w:ind w:left="0" w:right="41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Creación del documento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after="0" w:line="259" w:lineRule="auto"/>
              <w:ind w:left="8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DD / MM / 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after="0" w:line="259" w:lineRule="auto"/>
              <w:ind w:left="0" w:right="56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firstLine="10"/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6840" w:w="11920" w:orient="portrait"/>
      <w:pgMar w:bottom="1610" w:top="2743" w:left="1701" w:right="1716" w:header="9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hanging="1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hanging="1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" w:right="0" w:hanging="1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0" w:rightFromText="0" w:topFromText="0" w:bottomFromText="0" w:vertAnchor="page" w:horzAnchor="page" w:tblpX="150" w:tblpY="990"/>
      <w:tblW w:w="11600.0" w:type="dxa"/>
      <w:jc w:val="left"/>
      <w:tblLayout w:type="fixed"/>
      <w:tblLook w:val="0400"/>
    </w:tblPr>
    <w:tblGrid>
      <w:gridCol w:w="2680"/>
      <w:gridCol w:w="6720"/>
      <w:gridCol w:w="1120"/>
      <w:gridCol w:w="1080"/>
      <w:tblGridChange w:id="0">
        <w:tblGrid>
          <w:gridCol w:w="2680"/>
          <w:gridCol w:w="6720"/>
          <w:gridCol w:w="1120"/>
          <w:gridCol w:w="1080"/>
        </w:tblGrid>
      </w:tblGridChange>
    </w:tblGrid>
    <w:tr>
      <w:trPr>
        <w:cantSplit w:val="0"/>
        <w:trHeight w:val="420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48">
          <w:pPr>
            <w:spacing w:after="0" w:line="259" w:lineRule="auto"/>
            <w:ind w:left="34" w:firstLine="0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1552575" cy="333375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49">
          <w:pPr>
            <w:spacing w:after="0" w:line="259" w:lineRule="auto"/>
            <w:ind w:left="0" w:right="16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GESTIÓN TALENTO HUMANO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0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4D">
          <w:pPr>
            <w:spacing w:after="25" w:line="259" w:lineRule="auto"/>
            <w:ind w:left="0" w:right="21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PROCEDIMIENTO DE COMUNICACIÓN PARTICIPACIÓN Y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spacing w:after="0" w:line="259" w:lineRule="auto"/>
            <w:ind w:left="0" w:right="21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CONSULTA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4F">
          <w:pPr>
            <w:spacing w:after="0" w:line="259" w:lineRule="auto"/>
            <w:ind w:lef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Versión: 01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0">
          <w:pPr>
            <w:spacing w:after="0" w:line="259" w:lineRule="auto"/>
            <w:ind w:lef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Página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spacing w:after="0" w:line="259" w:lineRule="auto"/>
      <w:ind w:left="-1701" w:right="10204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pPr w:leftFromText="0" w:rightFromText="0" w:topFromText="0" w:bottomFromText="0" w:vertAnchor="page" w:horzAnchor="page" w:tblpX="150" w:tblpY="990"/>
      <w:tblW w:w="11600.0" w:type="dxa"/>
      <w:jc w:val="left"/>
      <w:tblLayout w:type="fixed"/>
      <w:tblLook w:val="0400"/>
    </w:tblPr>
    <w:tblGrid>
      <w:gridCol w:w="2680"/>
      <w:gridCol w:w="6720"/>
      <w:gridCol w:w="1120"/>
      <w:gridCol w:w="1080"/>
      <w:tblGridChange w:id="0">
        <w:tblGrid>
          <w:gridCol w:w="2680"/>
          <w:gridCol w:w="6720"/>
          <w:gridCol w:w="1120"/>
          <w:gridCol w:w="1080"/>
        </w:tblGrid>
      </w:tblGridChange>
    </w:tblGrid>
    <w:tr>
      <w:trPr>
        <w:cantSplit w:val="0"/>
        <w:trHeight w:val="420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3">
          <w:pPr>
            <w:spacing w:after="0" w:line="259" w:lineRule="auto"/>
            <w:ind w:left="34" w:firstLine="0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581150" cy="1092200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092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4">
          <w:pPr>
            <w:spacing w:after="0" w:line="259" w:lineRule="auto"/>
            <w:ind w:left="0" w:right="16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GESTIÓN TALENTO HUMANO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0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8">
          <w:pPr>
            <w:spacing w:after="25" w:line="259" w:lineRule="auto"/>
            <w:ind w:left="0" w:right="21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PROCEDIMIENTO DE COMUNICACIÓN PARTICIPACIÓN Y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spacing w:after="0" w:line="259" w:lineRule="auto"/>
            <w:ind w:left="0" w:right="21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CONSULTA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A">
          <w:pPr>
            <w:spacing w:after="0" w:line="259" w:lineRule="auto"/>
            <w:ind w:lef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Versión: 01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B">
          <w:pPr>
            <w:spacing w:after="0" w:line="259" w:lineRule="auto"/>
            <w:ind w:lef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Página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spacing w:after="0" w:line="259" w:lineRule="auto"/>
      <w:ind w:left="-1701" w:right="10204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pPr w:leftFromText="0" w:rightFromText="0" w:topFromText="0" w:bottomFromText="0" w:vertAnchor="page" w:horzAnchor="page" w:tblpX="150" w:tblpY="990"/>
      <w:tblW w:w="11600.0" w:type="dxa"/>
      <w:jc w:val="left"/>
      <w:tblLayout w:type="fixed"/>
      <w:tblLook w:val="0400"/>
    </w:tblPr>
    <w:tblGrid>
      <w:gridCol w:w="2680"/>
      <w:gridCol w:w="6720"/>
      <w:gridCol w:w="1120"/>
      <w:gridCol w:w="1080"/>
      <w:tblGridChange w:id="0">
        <w:tblGrid>
          <w:gridCol w:w="2680"/>
          <w:gridCol w:w="6720"/>
          <w:gridCol w:w="1120"/>
          <w:gridCol w:w="1080"/>
        </w:tblGrid>
      </w:tblGridChange>
    </w:tblGrid>
    <w:tr>
      <w:trPr>
        <w:cantSplit w:val="0"/>
        <w:trHeight w:val="420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E">
          <w:pPr>
            <w:spacing w:after="0" w:line="259" w:lineRule="auto"/>
            <w:ind w:left="34" w:firstLine="0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1552575" cy="333375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5F">
          <w:pPr>
            <w:spacing w:after="0" w:line="259" w:lineRule="auto"/>
            <w:ind w:left="0" w:right="16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GESTIÓN TALENTO HUMANO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0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63">
          <w:pPr>
            <w:spacing w:after="25" w:line="259" w:lineRule="auto"/>
            <w:ind w:left="0" w:right="21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PROCEDIMIENTO DE COMUNICACIÓN PARTICIPACIÓN Y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spacing w:after="0" w:line="259" w:lineRule="auto"/>
            <w:ind w:left="0" w:right="21" w:firstLine="0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CONSULTA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65">
          <w:pPr>
            <w:spacing w:after="0" w:line="259" w:lineRule="auto"/>
            <w:ind w:lef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Versión: 01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66">
          <w:pPr>
            <w:spacing w:after="0" w:line="259" w:lineRule="auto"/>
            <w:ind w:lef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Página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spacing w:after="0" w:line="259" w:lineRule="auto"/>
      <w:ind w:left="-1701" w:right="10204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" w:hanging="1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5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1.%2."/>
      <w:lvlJc w:val="left"/>
      <w:pPr>
        <w:ind w:left="1209" w:hanging="1209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5"/>
      <w:numFmt w:val="decimal"/>
      <w:lvlText w:val="%1"/>
      <w:lvlJc w:val="left"/>
      <w:pPr>
        <w:ind w:left="360" w:hanging="36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8"/>
      <w:numFmt w:val="decimal"/>
      <w:lvlText w:val="%1.%2."/>
      <w:lvlJc w:val="left"/>
      <w:pPr>
        <w:ind w:left="1148" w:hanging="1148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244" w:hanging="244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after="120" w:line="263.00000000000006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6.0" w:type="dxa"/>
        <w:left w:w="154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107.0" w:type="dxa"/>
        <w:bottom w:w="0.0" w:type="dxa"/>
        <w:right w:w="9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3.xml"/><Relationship Id="rId11" Type="http://schemas.openxmlformats.org/officeDocument/2006/relationships/image" Target="media/image7.png"/><Relationship Id="rId22" Type="http://schemas.openxmlformats.org/officeDocument/2006/relationships/footer" Target="footer3.xml"/><Relationship Id="rId10" Type="http://schemas.openxmlformats.org/officeDocument/2006/relationships/image" Target="media/image9.png"/><Relationship Id="rId21" Type="http://schemas.openxmlformats.org/officeDocument/2006/relationships/footer" Target="footer1.xml"/><Relationship Id="rId13" Type="http://schemas.openxmlformats.org/officeDocument/2006/relationships/image" Target="media/image12.png"/><Relationship Id="rId12" Type="http://schemas.openxmlformats.org/officeDocument/2006/relationships/image" Target="media/image4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0.png"/><Relationship Id="rId14" Type="http://schemas.openxmlformats.org/officeDocument/2006/relationships/image" Target="media/image5.png"/><Relationship Id="rId17" Type="http://schemas.openxmlformats.org/officeDocument/2006/relationships/image" Target="media/image3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image" Target="media/image11.png"/><Relationship Id="rId8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dI2s9flyNhXjxRrxKy4NweySA==">CgMxLjA4AHIhMW55U2F5eXJZdnJmUTduVDMxLWV5ZVQ5bnpaZ0NjQkdS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