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120" w:lineRule="auto"/>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02">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 OBJETIVO.</w:t>
      </w:r>
    </w:p>
    <w:p w:rsidR="00000000" w:rsidDel="00000000" w:rsidP="00000000" w:rsidRDefault="00000000" w:rsidRPr="00000000" w14:paraId="0000000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Establecer los procedimientos seguidos por el personal de la Organización para llevar a cabo de manera adecuada el proceso de Auditorías Internas del SIG</w:t>
      </w:r>
    </w:p>
    <w:p w:rsidR="00000000" w:rsidDel="00000000" w:rsidP="00000000" w:rsidRDefault="00000000" w:rsidRPr="00000000" w14:paraId="00000004">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5">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 ALCANCE.</w:t>
      </w:r>
    </w:p>
    <w:p w:rsidR="00000000" w:rsidDel="00000000" w:rsidP="00000000" w:rsidRDefault="00000000" w:rsidRPr="00000000" w14:paraId="0000000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Este procedimiento se aplica a todas las acciones que se realizan en el área de auditoría interna para llevar a cabo de manera adecuada el proceso de verificación de todas las actividades relativas a la Calidad.</w:t>
      </w:r>
    </w:p>
    <w:p w:rsidR="00000000" w:rsidDel="00000000" w:rsidP="00000000" w:rsidRDefault="00000000" w:rsidRPr="00000000" w14:paraId="00000007">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8">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3. DOCUMENTACIÓN DE REFERENCI</w:t>
      </w:r>
      <w:r w:rsidDel="00000000" w:rsidR="00000000" w:rsidRPr="00000000">
        <w:rPr>
          <w:rFonts w:ascii="Arial" w:cs="Arial" w:eastAsia="Arial" w:hAnsi="Arial"/>
          <w:sz w:val="24"/>
          <w:szCs w:val="24"/>
          <w:rtl w:val="0"/>
        </w:rPr>
        <w:t xml:space="preserve">A.</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12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Norma Técnica Colombiana ISO 9001:2015: numeral 9.2 </w:t>
      </w:r>
      <w:r w:rsidDel="00000000" w:rsidR="00000000" w:rsidRPr="00000000">
        <w:rPr>
          <w:rFonts w:ascii="Arial" w:cs="Arial" w:eastAsia="Arial" w:hAnsi="Arial"/>
          <w:sz w:val="24"/>
          <w:szCs w:val="24"/>
          <w:rtl w:val="0"/>
        </w:rPr>
        <w:t xml:space="preserve">Auditoría</w:t>
      </w:r>
      <w:r w:rsidDel="00000000" w:rsidR="00000000" w:rsidRPr="00000000">
        <w:rPr>
          <w:rFonts w:ascii="Arial" w:cs="Arial" w:eastAsia="Arial" w:hAnsi="Arial"/>
          <w:color w:val="000000"/>
          <w:sz w:val="24"/>
          <w:szCs w:val="24"/>
          <w:rtl w:val="0"/>
        </w:rPr>
        <w:t xml:space="preserve"> interna. </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12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ISO 39001:2012 , 9.3 </w:t>
      </w:r>
      <w:r w:rsidDel="00000000" w:rsidR="00000000" w:rsidRPr="00000000">
        <w:rPr>
          <w:rFonts w:ascii="Arial" w:cs="Arial" w:eastAsia="Arial" w:hAnsi="Arial"/>
          <w:sz w:val="24"/>
          <w:szCs w:val="24"/>
          <w:rtl w:val="0"/>
        </w:rPr>
        <w:t xml:space="preserve">Auditoría</w:t>
      </w:r>
      <w:r w:rsidDel="00000000" w:rsidR="00000000" w:rsidRPr="00000000">
        <w:rPr>
          <w:rFonts w:ascii="Arial" w:cs="Arial" w:eastAsia="Arial" w:hAnsi="Arial"/>
          <w:color w:val="000000"/>
          <w:sz w:val="24"/>
          <w:szCs w:val="24"/>
          <w:rtl w:val="0"/>
        </w:rPr>
        <w:t xml:space="preserve"> Interna </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120" w:lineRule="auto"/>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ISO 45001</w:t>
      </w:r>
      <w:r w:rsidDel="00000000" w:rsidR="00000000" w:rsidRPr="00000000">
        <w:rPr>
          <w:rFonts w:ascii="Arial" w:cs="Arial" w:eastAsia="Arial" w:hAnsi="Arial"/>
          <w:color w:val="000000"/>
          <w:sz w:val="24"/>
          <w:szCs w:val="24"/>
          <w:rtl w:val="0"/>
        </w:rPr>
        <w:t xml:space="preserve">: 9.2 </w:t>
      </w:r>
      <w:r w:rsidDel="00000000" w:rsidR="00000000" w:rsidRPr="00000000">
        <w:rPr>
          <w:rFonts w:ascii="Arial" w:cs="Arial" w:eastAsia="Arial" w:hAnsi="Arial"/>
          <w:sz w:val="24"/>
          <w:szCs w:val="24"/>
          <w:rtl w:val="0"/>
        </w:rPr>
        <w:t xml:space="preserve">Auditoría</w:t>
      </w:r>
      <w:r w:rsidDel="00000000" w:rsidR="00000000" w:rsidRPr="00000000">
        <w:rPr>
          <w:rFonts w:ascii="Arial" w:cs="Arial" w:eastAsia="Arial" w:hAnsi="Arial"/>
          <w:color w:val="000000"/>
          <w:sz w:val="24"/>
          <w:szCs w:val="24"/>
          <w:rtl w:val="0"/>
        </w:rPr>
        <w:t xml:space="preserve"> Interna</w:t>
      </w:r>
    </w:p>
    <w:p w:rsidR="00000000" w:rsidDel="00000000" w:rsidP="00000000" w:rsidRDefault="00000000" w:rsidRPr="00000000" w14:paraId="0000000C">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 DEFINICIÓN PARA SEGURIDAD VIAL</w:t>
      </w:r>
    </w:p>
    <w:p w:rsidR="00000000" w:rsidDel="00000000" w:rsidP="00000000" w:rsidRDefault="00000000" w:rsidRPr="00000000" w14:paraId="0000000D">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E">
      <w:pPr>
        <w:spacing w:after="280" w:before="280" w:lineRule="auto"/>
        <w:jc w:val="both"/>
        <w:rPr>
          <w:rFonts w:ascii="Arial" w:cs="Arial" w:eastAsia="Arial" w:hAnsi="Arial"/>
          <w:color w:val="000000"/>
          <w:sz w:val="24"/>
          <w:szCs w:val="24"/>
        </w:rPr>
      </w:pPr>
      <w:r w:rsidDel="00000000" w:rsidR="00000000" w:rsidRPr="00000000">
        <w:rPr>
          <w:rFonts w:ascii="Arial" w:cs="Arial" w:eastAsia="Arial" w:hAnsi="Arial"/>
          <w:b w:val="1"/>
          <w:color w:val="375682"/>
          <w:sz w:val="24"/>
          <w:szCs w:val="24"/>
          <w:rtl w:val="0"/>
        </w:rPr>
        <w:t xml:space="preserve">Paso 22. Auditoría anual (Aplica para todos los niveles)</w:t>
      </w:r>
      <w:r w:rsidDel="00000000" w:rsidR="00000000" w:rsidRPr="00000000">
        <w:rPr>
          <w:rtl w:val="0"/>
        </w:rPr>
      </w:r>
    </w:p>
    <w:p w:rsidR="00000000" w:rsidDel="00000000" w:rsidP="00000000" w:rsidRDefault="00000000" w:rsidRPr="00000000" w14:paraId="0000000F">
      <w:pPr>
        <w:spacing w:after="280" w:before="28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 organización debe realizar al menos una (1) auditoria anual interna para evaluar el cumplimiento y las evidencias de la planificación, implementación, seguimiento y mejora del PESV. de acuerdo con lo establecido en el Capítulo I de la Metodología del diseño, implementación y verificación de Planes Estratégicos de Seguridad Vial, los requisitos legales aplicables en materia de seguridad vial y demás requisitos que establezca la organización. En las auditorías internas debe ser validada la no aplicabilidad de los pasos.</w:t>
      </w:r>
    </w:p>
    <w:p w:rsidR="00000000" w:rsidDel="00000000" w:rsidP="00000000" w:rsidRDefault="00000000" w:rsidRPr="00000000" w14:paraId="00000010">
      <w:pPr>
        <w:spacing w:after="280" w:before="28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 organización debe documentar y aplicar un (1) procedimiento para la realización de las auditorías internas al PESV de la organización; el cual por lo menos debe contener: la planificación de las auditorias, las pautas de su realización y los responsables; así mismo los contenidos mínimos del informe de auditoría y el seguimiento a las no conformidades y planes de acción o mejora, producto de la auditoría.</w:t>
      </w:r>
    </w:p>
    <w:p w:rsidR="00000000" w:rsidDel="00000000" w:rsidP="00000000" w:rsidRDefault="00000000" w:rsidRPr="00000000" w14:paraId="00000011">
      <w:pPr>
        <w:spacing w:after="280" w:before="28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 organización debe definir la competencia del (los) auditor(es) internas) para el PESV. siguiendo los requisitos del Paso 10. Competencia y plan anual de formación (Aplica para todos los niveles), y teniendo en cuenta que la auditoria hace parte de la información a reportar a las entidades verificadoras tal como se establece en el Paso 20. Indicadores y reporte de autogestión PESV (Aplica para todos los niveles).</w:t>
      </w:r>
    </w:p>
    <w:p w:rsidR="00000000" w:rsidDel="00000000" w:rsidP="00000000" w:rsidRDefault="00000000" w:rsidRPr="00000000" w14:paraId="00000012">
      <w:pPr>
        <w:spacing w:after="280" w:before="28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El (los) auditor(es) interno(s) debe(n) ser persona(s) diferente(s) al líder del diseño e implementación del PESV y las auditorias serán planificadas con la participación del Comité de Seguridad Vial, se pueden manejar auditorias virtuales, sin embargo, se recomiendan auditorias presenciales y la aplicación de técnicas de muestreo para agregar mayor valor a la seguridad vial La organización puede optar por manejar auditorías integradas y como buena práctica se recomienda que la organización realice las auditorías internas según lo establecido en la norma ISO 19011 (Directrices para la auditoría de los sistemas de gestión) y apoyarse en el Capítulo II del presente documento, adicionalmente en las auditorías internas debe ser validada la no aplicabilidad.</w:t>
      </w:r>
    </w:p>
    <w:p w:rsidR="00000000" w:rsidDel="00000000" w:rsidP="00000000" w:rsidRDefault="00000000" w:rsidRPr="00000000" w14:paraId="00000013">
      <w:pPr>
        <w:spacing w:after="280" w:before="28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Información sobre la articulación del PESV con el SG-SST e ISO 39001: La Auditoria anual del PESV. se asimila a los requisitos establecidos en el SG-SST y la norma ISO 39001. así:</w:t>
      </w:r>
    </w:p>
    <w:tbl>
      <w:tblPr>
        <w:tblStyle w:val="Table1"/>
        <w:tblW w:w="8484.0" w:type="dxa"/>
        <w:jc w:val="left"/>
        <w:tblLayout w:type="fixed"/>
        <w:tblLook w:val="0400"/>
      </w:tblPr>
      <w:tblGrid>
        <w:gridCol w:w="2638"/>
        <w:gridCol w:w="4463"/>
        <w:gridCol w:w="1383"/>
        <w:tblGridChange w:id="0">
          <w:tblGrid>
            <w:gridCol w:w="2638"/>
            <w:gridCol w:w="4463"/>
            <w:gridCol w:w="1383"/>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14">
            <w:pPr>
              <w:ind w:left="14" w:firstLine="0"/>
              <w:jc w:val="both"/>
              <w:rPr>
                <w:rFonts w:ascii="Arial" w:cs="Arial" w:eastAsia="Arial" w:hAnsi="Arial"/>
                <w:color w:val="000000"/>
                <w:sz w:val="24"/>
                <w:szCs w:val="24"/>
              </w:rPr>
            </w:pPr>
            <w:r w:rsidDel="00000000" w:rsidR="00000000" w:rsidRPr="00000000">
              <w:rPr>
                <w:rFonts w:ascii="Arial" w:cs="Arial" w:eastAsia="Arial" w:hAnsi="Arial"/>
                <w:b w:val="1"/>
                <w:color w:val="375682"/>
                <w:sz w:val="24"/>
                <w:szCs w:val="24"/>
                <w:rtl w:val="0"/>
              </w:rPr>
              <w:t xml:space="preserve">PESV</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bottom"/>
          </w:tcPr>
          <w:p w:rsidR="00000000" w:rsidDel="00000000" w:rsidP="00000000" w:rsidRDefault="00000000" w:rsidRPr="00000000" w14:paraId="00000015">
            <w:pPr>
              <w:ind w:left="14" w:firstLine="0"/>
              <w:jc w:val="both"/>
              <w:rPr>
                <w:rFonts w:ascii="Arial" w:cs="Arial" w:eastAsia="Arial" w:hAnsi="Arial"/>
                <w:color w:val="000000"/>
                <w:sz w:val="24"/>
                <w:szCs w:val="24"/>
              </w:rPr>
            </w:pPr>
            <w:r w:rsidDel="00000000" w:rsidR="00000000" w:rsidRPr="00000000">
              <w:rPr>
                <w:rFonts w:ascii="Arial" w:cs="Arial" w:eastAsia="Arial" w:hAnsi="Arial"/>
                <w:b w:val="1"/>
                <w:color w:val="375682"/>
                <w:sz w:val="24"/>
                <w:szCs w:val="24"/>
                <w:rtl w:val="0"/>
              </w:rPr>
              <w:t xml:space="preserve">Decreto </w:t>
            </w:r>
            <w:hyperlink r:id="rId7">
              <w:r w:rsidDel="00000000" w:rsidR="00000000" w:rsidRPr="00000000">
                <w:rPr>
                  <w:rFonts w:ascii="Arial" w:cs="Arial" w:eastAsia="Arial" w:hAnsi="Arial"/>
                  <w:b w:val="1"/>
                  <w:color w:val="a69977"/>
                  <w:sz w:val="24"/>
                  <w:szCs w:val="24"/>
                  <w:u w:val="single"/>
                  <w:rtl w:val="0"/>
                </w:rPr>
                <w:t xml:space="preserve">1072</w:t>
              </w:r>
            </w:hyperlink>
            <w:r w:rsidDel="00000000" w:rsidR="00000000" w:rsidRPr="00000000">
              <w:rPr>
                <w:rFonts w:ascii="Arial" w:cs="Arial" w:eastAsia="Arial" w:hAnsi="Arial"/>
                <w:b w:val="1"/>
                <w:color w:val="375682"/>
                <w:sz w:val="24"/>
                <w:szCs w:val="24"/>
                <w:rtl w:val="0"/>
              </w:rPr>
              <w:t xml:space="preserve"> de 2015 SG-SST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16">
            <w:pPr>
              <w:ind w:left="14" w:firstLine="0"/>
              <w:jc w:val="both"/>
              <w:rPr>
                <w:rFonts w:ascii="Arial" w:cs="Arial" w:eastAsia="Arial" w:hAnsi="Arial"/>
                <w:color w:val="000000"/>
                <w:sz w:val="24"/>
                <w:szCs w:val="24"/>
              </w:rPr>
            </w:pPr>
            <w:r w:rsidDel="00000000" w:rsidR="00000000" w:rsidRPr="00000000">
              <w:rPr>
                <w:rFonts w:ascii="Arial" w:cs="Arial" w:eastAsia="Arial" w:hAnsi="Arial"/>
                <w:b w:val="1"/>
                <w:color w:val="375682"/>
                <w:sz w:val="24"/>
                <w:szCs w:val="24"/>
                <w:rtl w:val="0"/>
              </w:rPr>
              <w:t xml:space="preserve">ISO 39001</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17">
            <w:pPr>
              <w:ind w:left="14" w:firstLine="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Paso 22. Auditoria anual (Aplica para todos los niveles)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18">
            <w:pPr>
              <w:ind w:left="14" w:firstLine="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Articulo </w:t>
            </w:r>
            <w:hyperlink r:id="rId8">
              <w:r w:rsidDel="00000000" w:rsidR="00000000" w:rsidRPr="00000000">
                <w:rPr>
                  <w:rFonts w:ascii="Arial" w:cs="Arial" w:eastAsia="Arial" w:hAnsi="Arial"/>
                  <w:color w:val="a69977"/>
                  <w:sz w:val="24"/>
                  <w:szCs w:val="24"/>
                  <w:u w:val="single"/>
                  <w:rtl w:val="0"/>
                </w:rPr>
                <w:t xml:space="preserve">2.2.4.6.29</w:t>
              </w:r>
            </w:hyperlink>
            <w:r w:rsidDel="00000000" w:rsidR="00000000" w:rsidRPr="00000000">
              <w:rPr>
                <w:rFonts w:ascii="Arial" w:cs="Arial" w:eastAsia="Arial" w:hAnsi="Arial"/>
                <w:color w:val="000000"/>
                <w:sz w:val="24"/>
                <w:szCs w:val="24"/>
                <w:rtl w:val="0"/>
              </w:rPr>
              <w:t xml:space="preserve"> Auditoría de cumplimiento del sistema de gestión de la seguridad y salud en el trabajo </w:t>
            </w:r>
            <w:hyperlink r:id="rId9">
              <w:r w:rsidDel="00000000" w:rsidR="00000000" w:rsidRPr="00000000">
                <w:rPr>
                  <w:rFonts w:ascii="Arial" w:cs="Arial" w:eastAsia="Arial" w:hAnsi="Arial"/>
                  <w:color w:val="a69977"/>
                  <w:sz w:val="24"/>
                  <w:szCs w:val="24"/>
                  <w:u w:val="single"/>
                  <w:rtl w:val="0"/>
                </w:rPr>
                <w:t xml:space="preserve">2.2.4.6.30</w:t>
              </w:r>
            </w:hyperlink>
            <w:r w:rsidDel="00000000" w:rsidR="00000000" w:rsidRPr="00000000">
              <w:rPr>
                <w:rFonts w:ascii="Arial" w:cs="Arial" w:eastAsia="Arial" w:hAnsi="Arial"/>
                <w:color w:val="000000"/>
                <w:sz w:val="24"/>
                <w:szCs w:val="24"/>
                <w:rtl w:val="0"/>
              </w:rPr>
              <w:t xml:space="preserve"> Alcance de la auditoria de cumplimiento del Sistema de Gestión de la Seguridad y Salud en el Trabajo del Decreto </w:t>
            </w:r>
            <w:hyperlink r:id="rId10">
              <w:r w:rsidDel="00000000" w:rsidR="00000000" w:rsidRPr="00000000">
                <w:rPr>
                  <w:rFonts w:ascii="Arial" w:cs="Arial" w:eastAsia="Arial" w:hAnsi="Arial"/>
                  <w:color w:val="a69977"/>
                  <w:sz w:val="24"/>
                  <w:szCs w:val="24"/>
                  <w:u w:val="single"/>
                  <w:rtl w:val="0"/>
                </w:rPr>
                <w:t xml:space="preserve">1072</w:t>
              </w:r>
            </w:hyperlink>
            <w:r w:rsidDel="00000000" w:rsidR="00000000" w:rsidRPr="00000000">
              <w:rPr>
                <w:rFonts w:ascii="Arial" w:cs="Arial" w:eastAsia="Arial" w:hAnsi="Arial"/>
                <w:color w:val="000000"/>
                <w:sz w:val="24"/>
                <w:szCs w:val="24"/>
                <w:rtl w:val="0"/>
              </w:rPr>
              <w:t xml:space="preserve"> de 2015.</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19">
            <w:pPr>
              <w:ind w:left="14" w:firstLine="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9.3 Auditoria interna</w:t>
            </w:r>
          </w:p>
        </w:tc>
      </w:tr>
    </w:tbl>
    <w:p w:rsidR="00000000" w:rsidDel="00000000" w:rsidP="00000000" w:rsidRDefault="00000000" w:rsidRPr="00000000" w14:paraId="0000001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B">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C">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D">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E">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 REALIZACIÓN.</w:t>
      </w:r>
    </w:p>
    <w:p w:rsidR="00000000" w:rsidDel="00000000" w:rsidP="00000000" w:rsidRDefault="00000000" w:rsidRPr="00000000" w14:paraId="0000001F">
      <w:pPr>
        <w:rPr>
          <w:rFonts w:ascii="Arial" w:cs="Arial" w:eastAsia="Arial" w:hAnsi="Arial"/>
          <w:sz w:val="24"/>
          <w:szCs w:val="24"/>
        </w:rPr>
      </w:pPr>
      <w:r w:rsidDel="00000000" w:rsidR="00000000" w:rsidRPr="00000000">
        <w:rPr>
          <w:rFonts w:ascii="Arial" w:cs="Arial" w:eastAsia="Arial" w:hAnsi="Arial"/>
          <w:sz w:val="24"/>
          <w:szCs w:val="24"/>
          <w:rtl w:val="0"/>
        </w:rPr>
        <w:t xml:space="preserve">Para llevar a cabo los objetivos propuestos, el proceso de Auditoria implica la necesidad de acometer las siguientes etapas:</w:t>
      </w:r>
    </w:p>
    <w:p w:rsidR="00000000" w:rsidDel="00000000" w:rsidP="00000000" w:rsidRDefault="00000000" w:rsidRPr="00000000" w14:paraId="0000002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1">
      <w:pPr>
        <w:numPr>
          <w:ilvl w:val="0"/>
          <w:numId w:val="4"/>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Planificación de las Auditorías.</w:t>
      </w:r>
    </w:p>
    <w:p w:rsidR="00000000" w:rsidDel="00000000" w:rsidP="00000000" w:rsidRDefault="00000000" w:rsidRPr="00000000" w14:paraId="00000022">
      <w:pPr>
        <w:numPr>
          <w:ilvl w:val="0"/>
          <w:numId w:val="4"/>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Definición de los criterios de auditoría.</w:t>
      </w:r>
    </w:p>
    <w:p w:rsidR="00000000" w:rsidDel="00000000" w:rsidP="00000000" w:rsidRDefault="00000000" w:rsidRPr="00000000" w14:paraId="00000023">
      <w:pPr>
        <w:numPr>
          <w:ilvl w:val="0"/>
          <w:numId w:val="4"/>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Selección de Auditores</w:t>
      </w:r>
    </w:p>
    <w:p w:rsidR="00000000" w:rsidDel="00000000" w:rsidP="00000000" w:rsidRDefault="00000000" w:rsidRPr="00000000" w14:paraId="00000024">
      <w:pPr>
        <w:numPr>
          <w:ilvl w:val="0"/>
          <w:numId w:val="4"/>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Realización de Auditorías.</w:t>
      </w:r>
    </w:p>
    <w:p w:rsidR="00000000" w:rsidDel="00000000" w:rsidP="00000000" w:rsidRDefault="00000000" w:rsidRPr="00000000" w14:paraId="00000025">
      <w:pPr>
        <w:numPr>
          <w:ilvl w:val="0"/>
          <w:numId w:val="4"/>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Elaboración de los informes.</w:t>
      </w:r>
    </w:p>
    <w:p w:rsidR="00000000" w:rsidDel="00000000" w:rsidP="00000000" w:rsidRDefault="00000000" w:rsidRPr="00000000" w14:paraId="00000026">
      <w:pPr>
        <w:numPr>
          <w:ilvl w:val="0"/>
          <w:numId w:val="4"/>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Plan de acción de las acciones correctivas y preventivas.</w:t>
      </w:r>
    </w:p>
    <w:p w:rsidR="00000000" w:rsidDel="00000000" w:rsidP="00000000" w:rsidRDefault="00000000" w:rsidRPr="00000000" w14:paraId="00000027">
      <w:pPr>
        <w:numPr>
          <w:ilvl w:val="0"/>
          <w:numId w:val="4"/>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Revisión de las acciones implementadas.</w:t>
      </w:r>
    </w:p>
    <w:p w:rsidR="00000000" w:rsidDel="00000000" w:rsidP="00000000" w:rsidRDefault="00000000" w:rsidRPr="00000000" w14:paraId="00000028">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9">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A">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4.1. PLANIFICACIÓN DE LAS AUDITORÍAS.</w:t>
      </w:r>
    </w:p>
    <w:p w:rsidR="00000000" w:rsidDel="00000000" w:rsidP="00000000" w:rsidRDefault="00000000" w:rsidRPr="00000000" w14:paraId="0000002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 obligatoria la realización </w:t>
      </w:r>
      <w:r w:rsidDel="00000000" w:rsidR="00000000" w:rsidRPr="00000000">
        <w:rPr>
          <w:rFonts w:ascii="Arial" w:cs="Arial" w:eastAsia="Arial" w:hAnsi="Arial"/>
          <w:b w:val="1"/>
          <w:sz w:val="24"/>
          <w:szCs w:val="24"/>
          <w:rtl w:val="0"/>
        </w:rPr>
        <w:t xml:space="preserve">anual </w:t>
      </w:r>
      <w:r w:rsidDel="00000000" w:rsidR="00000000" w:rsidRPr="00000000">
        <w:rPr>
          <w:rFonts w:ascii="Arial" w:cs="Arial" w:eastAsia="Arial" w:hAnsi="Arial"/>
          <w:sz w:val="24"/>
          <w:szCs w:val="24"/>
          <w:rtl w:val="0"/>
        </w:rPr>
        <w:t xml:space="preserve">de una auditoría completa del SIG implantado; como regla general, cada proceso del sistema de Calidad se  audita, al menos, una vez al año,  aunque el Responsable de </w:t>
      </w:r>
      <w:r w:rsidDel="00000000" w:rsidR="00000000" w:rsidRPr="00000000">
        <w:rPr>
          <w:rFonts w:ascii="Arial" w:cs="Arial" w:eastAsia="Arial" w:hAnsi="Arial"/>
          <w:i w:val="1"/>
          <w:sz w:val="24"/>
          <w:szCs w:val="24"/>
          <w:rtl w:val="0"/>
        </w:rPr>
        <w:t xml:space="preserve">SIG   </w:t>
      </w:r>
      <w:r w:rsidDel="00000000" w:rsidR="00000000" w:rsidRPr="00000000">
        <w:rPr>
          <w:rFonts w:ascii="Arial" w:cs="Arial" w:eastAsia="Arial" w:hAnsi="Arial"/>
          <w:sz w:val="24"/>
          <w:szCs w:val="24"/>
          <w:rtl w:val="0"/>
        </w:rPr>
        <w:t xml:space="preserve">puede solicitar la realización  de auditorías extraordinarias si a través de las encuestas, de los informes  de incidencias y reclamaciones o de  cualquier otra vía de información, se sospeche o se tenga la certeza de que el nivel de calidad del producto y  servicios está disminuyendo y se sobrepasan los límites prefijados.</w:t>
      </w:r>
    </w:p>
    <w:p w:rsidR="00000000" w:rsidDel="00000000" w:rsidP="00000000" w:rsidRDefault="00000000" w:rsidRPr="00000000" w14:paraId="0000002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w:t>
      </w:r>
      <w:r w:rsidDel="00000000" w:rsidR="00000000" w:rsidRPr="00000000">
        <w:rPr>
          <w:rFonts w:ascii="Arial" w:cs="Arial" w:eastAsia="Arial" w:hAnsi="Arial"/>
          <w:i w:val="1"/>
          <w:sz w:val="24"/>
          <w:szCs w:val="24"/>
          <w:rtl w:val="0"/>
        </w:rPr>
        <w:t xml:space="preserve">responsable de SIG </w:t>
      </w:r>
      <w:r w:rsidDel="00000000" w:rsidR="00000000" w:rsidRPr="00000000">
        <w:rPr>
          <w:rFonts w:ascii="Arial" w:cs="Arial" w:eastAsia="Arial" w:hAnsi="Arial"/>
          <w:sz w:val="24"/>
          <w:szCs w:val="24"/>
          <w:rtl w:val="0"/>
        </w:rPr>
        <w:t xml:space="preserve">elabora con carácter anual el </w:t>
      </w:r>
      <w:r w:rsidDel="00000000" w:rsidR="00000000" w:rsidRPr="00000000">
        <w:rPr>
          <w:rFonts w:ascii="Arial" w:cs="Arial" w:eastAsia="Arial" w:hAnsi="Arial"/>
          <w:b w:val="1"/>
          <w:sz w:val="24"/>
          <w:szCs w:val="24"/>
          <w:rtl w:val="0"/>
        </w:rPr>
        <w:t xml:space="preserve">“Plan de Auditorías Interna</w:t>
      </w:r>
      <w:r w:rsidDel="00000000" w:rsidR="00000000" w:rsidRPr="00000000">
        <w:rPr>
          <w:rFonts w:ascii="Arial" w:cs="Arial" w:eastAsia="Arial" w:hAnsi="Arial"/>
          <w:sz w:val="24"/>
          <w:szCs w:val="24"/>
          <w:rtl w:val="0"/>
        </w:rPr>
        <w:t xml:space="preserve">s” a efectuar durante el ejercicio, en el que se especificarán las áreas de la Organización pertinentes a Auditar, así como las fechas de ejecución aproximadas de las mismas. Notificado de manera genérica a toda la organización y de forma específica a los responsables del proceso a auditar.</w:t>
      </w:r>
    </w:p>
    <w:p w:rsidR="00000000" w:rsidDel="00000000" w:rsidP="00000000" w:rsidRDefault="00000000" w:rsidRPr="00000000" w14:paraId="0000002F">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plan de auditorías queda registrado en el sistema de información </w:t>
      </w:r>
    </w:p>
    <w:p w:rsidR="00000000" w:rsidDel="00000000" w:rsidP="00000000" w:rsidRDefault="00000000" w:rsidRPr="00000000" w14:paraId="00000030">
      <w:pPr>
        <w:numPr>
          <w:ilvl w:val="0"/>
          <w:numId w:val="6"/>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realizan listas chequeo con los puntos de la norma que se verifican en   cada proceso con el fin de auditar en cada proceso el cumplimiento del SIG</w:t>
      </w:r>
    </w:p>
    <w:p w:rsidR="00000000" w:rsidDel="00000000" w:rsidP="00000000" w:rsidRDefault="00000000" w:rsidRPr="00000000" w14:paraId="00000031">
      <w:pPr>
        <w:numPr>
          <w:ilvl w:val="0"/>
          <w:numId w:val="6"/>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 auditar los puntos de la norma en cada proceso queda auditado el SIG</w:t>
      </w:r>
    </w:p>
    <w:p w:rsidR="00000000" w:rsidDel="00000000" w:rsidP="00000000" w:rsidRDefault="00000000" w:rsidRPr="00000000" w14:paraId="00000032">
      <w:pPr>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3">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4">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5">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6">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4.2. AUDITORES DEL SISTEMA INTEGRADO DE GESTIÓN.</w:t>
      </w:r>
    </w:p>
    <w:p w:rsidR="00000000" w:rsidDel="00000000" w:rsidP="00000000" w:rsidRDefault="00000000" w:rsidRPr="00000000" w14:paraId="00000037">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8">
      <w:pPr>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Para la realización de auditorías del sistema de calidad, se pueden proponer como auditores tanto a personal de </w:t>
      </w:r>
      <w:r w:rsidDel="00000000" w:rsidR="00000000" w:rsidRPr="00000000">
        <w:rPr>
          <w:rFonts w:ascii="Arial" w:cs="Arial" w:eastAsia="Arial" w:hAnsi="Arial"/>
          <w:b w:val="1"/>
          <w:sz w:val="24"/>
          <w:szCs w:val="24"/>
          <w:rtl w:val="0"/>
        </w:rPr>
        <w:t xml:space="preserve"> SERVICIO ESPECIALIZADO DE TRANSPORTE ESCOLAR LTDA.</w:t>
      </w:r>
    </w:p>
    <w:p w:rsidR="00000000" w:rsidDel="00000000" w:rsidP="00000000" w:rsidRDefault="00000000" w:rsidRPr="00000000" w14:paraId="00000039">
      <w:pPr>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Como a auditores de organizaciones externas. En el caso de auditores externos, éstos deben poder acreditar:</w:t>
      </w:r>
    </w:p>
    <w:p w:rsidR="00000000" w:rsidDel="00000000" w:rsidP="00000000" w:rsidRDefault="00000000" w:rsidRPr="00000000" w14:paraId="0000003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B">
      <w:pPr>
        <w:numPr>
          <w:ilvl w:val="0"/>
          <w:numId w:val="8"/>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Experiencia en la realización de auditorías de sistemas de gestión de la calidad. Tener unos mínimos conocimientos del sector. </w:t>
      </w:r>
    </w:p>
    <w:p w:rsidR="00000000" w:rsidDel="00000000" w:rsidP="00000000" w:rsidRDefault="00000000" w:rsidRPr="00000000" w14:paraId="0000003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D">
      <w:pPr>
        <w:rPr>
          <w:rFonts w:ascii="Arial" w:cs="Arial" w:eastAsia="Arial" w:hAnsi="Arial"/>
          <w:sz w:val="24"/>
          <w:szCs w:val="24"/>
        </w:rPr>
      </w:pPr>
      <w:r w:rsidDel="00000000" w:rsidR="00000000" w:rsidRPr="00000000">
        <w:rPr>
          <w:rFonts w:ascii="Arial" w:cs="Arial" w:eastAsia="Arial" w:hAnsi="Arial"/>
          <w:sz w:val="24"/>
          <w:szCs w:val="24"/>
          <w:rtl w:val="0"/>
        </w:rPr>
        <w:t xml:space="preserve">Cuando el auditor forma parte de la plantilla de </w:t>
      </w:r>
      <w:r w:rsidDel="00000000" w:rsidR="00000000" w:rsidRPr="00000000">
        <w:rPr>
          <w:rFonts w:ascii="Arial" w:cs="Arial" w:eastAsia="Arial" w:hAnsi="Arial"/>
          <w:b w:val="1"/>
          <w:sz w:val="24"/>
          <w:szCs w:val="24"/>
          <w:rtl w:val="0"/>
        </w:rPr>
        <w:t xml:space="preserve"> SERVICIO ESPECIALIZADO DE TRANSPORTE ESCOLAR LTDA</w:t>
      </w:r>
      <w:r w:rsidDel="00000000" w:rsidR="00000000" w:rsidRPr="00000000">
        <w:rPr>
          <w:rFonts w:ascii="Arial" w:cs="Arial" w:eastAsia="Arial" w:hAnsi="Arial"/>
          <w:sz w:val="24"/>
          <w:szCs w:val="24"/>
          <w:rtl w:val="0"/>
        </w:rPr>
        <w:t xml:space="preserve"> debe cumplir los siguientes requisitos:</w:t>
      </w:r>
    </w:p>
    <w:p w:rsidR="00000000" w:rsidDel="00000000" w:rsidP="00000000" w:rsidRDefault="00000000" w:rsidRPr="00000000" w14:paraId="0000003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F">
      <w:pPr>
        <w:rPr>
          <w:rFonts w:ascii="Arial" w:cs="Arial" w:eastAsia="Arial" w:hAnsi="Arial"/>
          <w:sz w:val="24"/>
          <w:szCs w:val="24"/>
        </w:rPr>
      </w:pPr>
      <w:r w:rsidDel="00000000" w:rsidR="00000000" w:rsidRPr="00000000">
        <w:rPr>
          <w:rFonts w:ascii="Arial" w:cs="Arial" w:eastAsia="Arial" w:hAnsi="Arial"/>
          <w:sz w:val="24"/>
          <w:szCs w:val="24"/>
          <w:rtl w:val="0"/>
        </w:rPr>
        <w:t xml:space="preserve">•      Haber asistido a un mínimo de 2 auditorias (internas o externas)</w:t>
      </w:r>
    </w:p>
    <w:p w:rsidR="00000000" w:rsidDel="00000000" w:rsidP="00000000" w:rsidRDefault="00000000" w:rsidRPr="00000000" w14:paraId="0000004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1">
      <w:pPr>
        <w:rPr>
          <w:rFonts w:ascii="Arial" w:cs="Arial" w:eastAsia="Arial" w:hAnsi="Arial"/>
          <w:sz w:val="24"/>
          <w:szCs w:val="24"/>
        </w:rPr>
      </w:pPr>
      <w:r w:rsidDel="00000000" w:rsidR="00000000" w:rsidRPr="00000000">
        <w:rPr>
          <w:rFonts w:ascii="Arial" w:cs="Arial" w:eastAsia="Arial" w:hAnsi="Arial"/>
          <w:sz w:val="24"/>
          <w:szCs w:val="24"/>
          <w:rtl w:val="0"/>
        </w:rPr>
        <w:t xml:space="preserve">•      No tener responsabilidad directa sobre las actividades a auditar.</w:t>
      </w:r>
    </w:p>
    <w:p w:rsidR="00000000" w:rsidDel="00000000" w:rsidP="00000000" w:rsidRDefault="00000000" w:rsidRPr="00000000" w14:paraId="0000004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3">
      <w:pPr>
        <w:rPr>
          <w:rFonts w:ascii="Arial" w:cs="Arial" w:eastAsia="Arial" w:hAnsi="Arial"/>
          <w:sz w:val="24"/>
          <w:szCs w:val="24"/>
        </w:rPr>
      </w:pPr>
      <w:r w:rsidDel="00000000" w:rsidR="00000000" w:rsidRPr="00000000">
        <w:rPr>
          <w:rFonts w:ascii="Arial" w:cs="Arial" w:eastAsia="Arial" w:hAnsi="Arial"/>
          <w:sz w:val="24"/>
          <w:szCs w:val="24"/>
          <w:rtl w:val="0"/>
        </w:rPr>
        <w:t xml:space="preserve">•     Tener unos mínimos conocimientos del proceso a auditar.</w:t>
      </w:r>
    </w:p>
    <w:p w:rsidR="00000000" w:rsidDel="00000000" w:rsidP="00000000" w:rsidRDefault="00000000" w:rsidRPr="00000000" w14:paraId="0000004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5">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4.3. REALIZACIÓN DE LAS AUDITORÍAS</w:t>
      </w:r>
    </w:p>
    <w:p w:rsidR="00000000" w:rsidDel="00000000" w:rsidP="00000000" w:rsidRDefault="00000000" w:rsidRPr="00000000" w14:paraId="00000046">
      <w:pPr>
        <w:ind w:firstLine="70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 una anterioridad razonable, el </w:t>
      </w:r>
      <w:r w:rsidDel="00000000" w:rsidR="00000000" w:rsidRPr="00000000">
        <w:rPr>
          <w:rFonts w:ascii="Arial" w:cs="Arial" w:eastAsia="Arial" w:hAnsi="Arial"/>
          <w:i w:val="1"/>
          <w:sz w:val="24"/>
          <w:szCs w:val="24"/>
          <w:rtl w:val="0"/>
        </w:rPr>
        <w:t xml:space="preserve">responsable de SIG </w:t>
      </w:r>
      <w:r w:rsidDel="00000000" w:rsidR="00000000" w:rsidRPr="00000000">
        <w:rPr>
          <w:rFonts w:ascii="Arial" w:cs="Arial" w:eastAsia="Arial" w:hAnsi="Arial"/>
          <w:sz w:val="24"/>
          <w:szCs w:val="24"/>
          <w:rtl w:val="0"/>
        </w:rPr>
        <w:t xml:space="preserve">se pone en contacto con el </w:t>
      </w:r>
      <w:r w:rsidDel="00000000" w:rsidR="00000000" w:rsidRPr="00000000">
        <w:rPr>
          <w:rFonts w:ascii="Arial" w:cs="Arial" w:eastAsia="Arial" w:hAnsi="Arial"/>
          <w:i w:val="1"/>
          <w:sz w:val="24"/>
          <w:szCs w:val="24"/>
          <w:rtl w:val="0"/>
        </w:rPr>
        <w:t xml:space="preserve">dueño del proceso a</w:t>
      </w:r>
      <w:r w:rsidDel="00000000" w:rsidR="00000000" w:rsidRPr="00000000">
        <w:rPr>
          <w:rFonts w:ascii="Arial" w:cs="Arial" w:eastAsia="Arial" w:hAnsi="Arial"/>
          <w:sz w:val="24"/>
          <w:szCs w:val="24"/>
          <w:rtl w:val="0"/>
        </w:rPr>
        <w:t xml:space="preserve"> auditar para establecer la fecha concreta de la realización de la Auditoría. El </w:t>
      </w:r>
      <w:r w:rsidDel="00000000" w:rsidR="00000000" w:rsidRPr="00000000">
        <w:rPr>
          <w:rFonts w:ascii="Arial" w:cs="Arial" w:eastAsia="Arial" w:hAnsi="Arial"/>
          <w:i w:val="1"/>
          <w:sz w:val="24"/>
          <w:szCs w:val="24"/>
          <w:rtl w:val="0"/>
        </w:rPr>
        <w:t xml:space="preserve">responsable de SIG </w:t>
      </w:r>
      <w:r w:rsidDel="00000000" w:rsidR="00000000" w:rsidRPr="00000000">
        <w:rPr>
          <w:rFonts w:ascii="Arial" w:cs="Arial" w:eastAsia="Arial" w:hAnsi="Arial"/>
          <w:sz w:val="24"/>
          <w:szCs w:val="24"/>
          <w:rtl w:val="0"/>
        </w:rPr>
        <w:t xml:space="preserve">presenta al responsable del Área a auditar el </w:t>
      </w:r>
      <w:r w:rsidDel="00000000" w:rsidR="00000000" w:rsidRPr="00000000">
        <w:rPr>
          <w:rFonts w:ascii="Arial" w:cs="Arial" w:eastAsia="Arial" w:hAnsi="Arial"/>
          <w:b w:val="1"/>
          <w:sz w:val="24"/>
          <w:szCs w:val="24"/>
          <w:rtl w:val="0"/>
        </w:rPr>
        <w:t xml:space="preserve">“Programa de Auditoría</w:t>
      </w:r>
      <w:r w:rsidDel="00000000" w:rsidR="00000000" w:rsidRPr="00000000">
        <w:rPr>
          <w:rFonts w:ascii="Arial" w:cs="Arial" w:eastAsia="Arial" w:hAnsi="Arial"/>
          <w:sz w:val="24"/>
          <w:szCs w:val="24"/>
          <w:rtl w:val="0"/>
        </w:rPr>
        <w:t xml:space="preserve">” del trabajo a realizar donde se incluye:</w:t>
      </w:r>
    </w:p>
    <w:p w:rsidR="00000000" w:rsidDel="00000000" w:rsidP="00000000" w:rsidRDefault="00000000" w:rsidRPr="00000000" w14:paraId="00000048">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9">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A">
      <w:pPr>
        <w:numPr>
          <w:ilvl w:val="0"/>
          <w:numId w:val="10"/>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Planeación de la auditoría se sube al sistema de información al módulo de auditorías. </w:t>
      </w:r>
    </w:p>
    <w:p w:rsidR="00000000" w:rsidDel="00000000" w:rsidP="00000000" w:rsidRDefault="00000000" w:rsidRPr="00000000" w14:paraId="0000004B">
      <w:pPr>
        <w:numPr>
          <w:ilvl w:val="0"/>
          <w:numId w:val="10"/>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Breve relación de las actividades a desarrollar durante la Auditoría.</w:t>
      </w:r>
    </w:p>
    <w:p w:rsidR="00000000" w:rsidDel="00000000" w:rsidP="00000000" w:rsidRDefault="00000000" w:rsidRPr="00000000" w14:paraId="0000004C">
      <w:pPr>
        <w:numPr>
          <w:ilvl w:val="0"/>
          <w:numId w:val="11"/>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Relación de los procedimientos a auditar.</w:t>
      </w:r>
    </w:p>
    <w:p w:rsidR="00000000" w:rsidDel="00000000" w:rsidP="00000000" w:rsidRDefault="00000000" w:rsidRPr="00000000" w14:paraId="0000004D">
      <w:pPr>
        <w:numPr>
          <w:ilvl w:val="0"/>
          <w:numId w:val="12"/>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proceso se inicia con el repaso del programa a llevar a cabo durante la realización de la auditoría. La ejecución de la misma implica el cumplimiento del </w:t>
      </w:r>
      <w:r w:rsidDel="00000000" w:rsidR="00000000" w:rsidRPr="00000000">
        <w:rPr>
          <w:rFonts w:ascii="Arial" w:cs="Arial" w:eastAsia="Arial" w:hAnsi="Arial"/>
          <w:b w:val="1"/>
          <w:sz w:val="24"/>
          <w:szCs w:val="24"/>
          <w:rtl w:val="0"/>
        </w:rPr>
        <w:t xml:space="preserve">“Cuestionario de Auditoría</w:t>
      </w:r>
      <w:r w:rsidDel="00000000" w:rsidR="00000000" w:rsidRPr="00000000">
        <w:rPr>
          <w:rFonts w:ascii="Arial" w:cs="Arial" w:eastAsia="Arial" w:hAnsi="Arial"/>
          <w:sz w:val="24"/>
          <w:szCs w:val="24"/>
          <w:rtl w:val="0"/>
        </w:rPr>
        <w:t xml:space="preserve">” preparado por el Auditor interno y la realización de las pruebas pertinentes para verificar el cumplimiento de los procedimientos relacionados con el área.</w:t>
      </w:r>
    </w:p>
    <w:p w:rsidR="00000000" w:rsidDel="00000000" w:rsidP="00000000" w:rsidRDefault="00000000" w:rsidRPr="00000000" w14:paraId="0000004E">
      <w:pPr>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F">
      <w:pPr>
        <w:numPr>
          <w:ilvl w:val="0"/>
          <w:numId w:val="1"/>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Auditar el cierre de no conformidades de las auditorías anteriores</w:t>
      </w:r>
    </w:p>
    <w:p w:rsidR="00000000" w:rsidDel="00000000" w:rsidP="00000000" w:rsidRDefault="00000000" w:rsidRPr="00000000" w14:paraId="00000050">
      <w:pPr>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1">
      <w:pPr>
        <w:numPr>
          <w:ilvl w:val="0"/>
          <w:numId w:val="2"/>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 finalizar el proceso de auditoría, el responsable de la misma entregará un </w:t>
      </w:r>
      <w:r w:rsidDel="00000000" w:rsidR="00000000" w:rsidRPr="00000000">
        <w:rPr>
          <w:rFonts w:ascii="Arial" w:cs="Arial" w:eastAsia="Arial" w:hAnsi="Arial"/>
          <w:b w:val="1"/>
          <w:sz w:val="24"/>
          <w:szCs w:val="24"/>
          <w:rtl w:val="0"/>
        </w:rPr>
        <w:t xml:space="preserve">“Informe de Auditoría</w:t>
      </w:r>
      <w:r w:rsidDel="00000000" w:rsidR="00000000" w:rsidRPr="00000000">
        <w:rPr>
          <w:rFonts w:ascii="Arial" w:cs="Arial" w:eastAsia="Arial" w:hAnsi="Arial"/>
          <w:sz w:val="24"/>
          <w:szCs w:val="24"/>
          <w:rtl w:val="0"/>
        </w:rPr>
        <w:t xml:space="preserve">” de las no conformidades detectadas, que se adjuntará a una copia del cuestionario efectuado y se sube al sistema de información</w:t>
      </w:r>
    </w:p>
    <w:p w:rsidR="00000000" w:rsidDel="00000000" w:rsidP="00000000" w:rsidRDefault="00000000" w:rsidRPr="00000000" w14:paraId="00000052">
      <w:pPr>
        <w:numPr>
          <w:ilvl w:val="0"/>
          <w:numId w:val="2"/>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través del sistema se informa de la fecha de las auditorías y las no conformidades </w:t>
      </w:r>
    </w:p>
    <w:p w:rsidR="00000000" w:rsidDel="00000000" w:rsidP="00000000" w:rsidRDefault="00000000" w:rsidRPr="00000000" w14:paraId="00000053">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6">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 4. ELABORACIÓN DEL INFORME.</w:t>
      </w:r>
    </w:p>
    <w:p w:rsidR="00000000" w:rsidDel="00000000" w:rsidP="00000000" w:rsidRDefault="00000000" w:rsidRPr="00000000" w14:paraId="0000005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8">
      <w:pPr>
        <w:rPr>
          <w:rFonts w:ascii="Arial" w:cs="Arial" w:eastAsia="Arial" w:hAnsi="Arial"/>
          <w:sz w:val="24"/>
          <w:szCs w:val="24"/>
        </w:rPr>
      </w:pPr>
      <w:r w:rsidDel="00000000" w:rsidR="00000000" w:rsidRPr="00000000">
        <w:rPr>
          <w:rFonts w:ascii="Arial" w:cs="Arial" w:eastAsia="Arial" w:hAnsi="Arial"/>
          <w:sz w:val="24"/>
          <w:szCs w:val="24"/>
          <w:rtl w:val="0"/>
        </w:rPr>
        <w:t xml:space="preserve">El informe, que constituye un anexo de la documentación utilizada para llevar a cabo el proceso de Auditorías Internas del SIG debe incluir los siguientes apartados:</w:t>
      </w:r>
    </w:p>
    <w:p w:rsidR="00000000" w:rsidDel="00000000" w:rsidP="00000000" w:rsidRDefault="00000000" w:rsidRPr="00000000" w14:paraId="0000005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A">
      <w:pPr>
        <w:numPr>
          <w:ilvl w:val="0"/>
          <w:numId w:val="3"/>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Aspectos que destacar según el trabajo realizado: donde se especificarán los aspectos más significativos del trabajo realizado, destacando los aspectos positivos y negativos detectados en el área.</w:t>
      </w:r>
    </w:p>
    <w:p w:rsidR="00000000" w:rsidDel="00000000" w:rsidP="00000000" w:rsidRDefault="00000000" w:rsidRPr="00000000" w14:paraId="0000005B">
      <w:pPr>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C">
      <w:pPr>
        <w:numPr>
          <w:ilvl w:val="0"/>
          <w:numId w:val="5"/>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 conformidades: en este apartado se describirán todas aquellas salvedades que han significado actuaciones contrarias al SIG establecido, también se incluirán aquellas actuaciones que a pesar de no incumplir los requisitos establecidos en el SIG han supuesto variaciones significativas en la sistemática de funcionamiento de la Organización, que en un futuro podría ser foco de posibles problemas; estas salvedades se conocen con el nombre de deficiencias”.</w:t>
      </w:r>
    </w:p>
    <w:p w:rsidR="00000000" w:rsidDel="00000000" w:rsidP="00000000" w:rsidRDefault="00000000" w:rsidRPr="00000000" w14:paraId="0000005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E">
      <w:pPr>
        <w:numPr>
          <w:ilvl w:val="0"/>
          <w:numId w:val="7"/>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Acciones correctivas: se establecerán aquellas acciones correctoras para subsanar las no conformidades detectadas.  A cada acción correctiva se asignará un responsable y una fecha estimada que se utilice como referencia para conocer el grado de implantación de la acción descrita.</w:t>
      </w:r>
    </w:p>
    <w:p w:rsidR="00000000" w:rsidDel="00000000" w:rsidP="00000000" w:rsidRDefault="00000000" w:rsidRPr="00000000" w14:paraId="0000005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0">
      <w:pPr>
        <w:numPr>
          <w:ilvl w:val="0"/>
          <w:numId w:val="9"/>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Acciones preventivas para evitar no conformidades: teniendo en cuenta aquellos aspectos negativos detectados y especificados en la primera parte del informe y las “incorrecciones” descritas, se establecerán las medidas oportunas para evitar los problemas relacionados con el Sistema integrado de gestión que pudiera darse en un futuro.</w:t>
      </w:r>
    </w:p>
    <w:p w:rsidR="00000000" w:rsidDel="00000000" w:rsidP="00000000" w:rsidRDefault="00000000" w:rsidRPr="00000000" w14:paraId="00000061">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2">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3">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4.5. IMPLEMENTACIÓN DE LAS MEDIDAS CORRECTIVAS.</w:t>
      </w:r>
    </w:p>
    <w:p w:rsidR="00000000" w:rsidDel="00000000" w:rsidP="00000000" w:rsidRDefault="00000000" w:rsidRPr="00000000" w14:paraId="0000006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 la periodicidad que se considere adecuada en función de las medidas a implantar propuestas en el informe, el </w:t>
      </w:r>
      <w:r w:rsidDel="00000000" w:rsidR="00000000" w:rsidRPr="00000000">
        <w:rPr>
          <w:rFonts w:ascii="Arial" w:cs="Arial" w:eastAsia="Arial" w:hAnsi="Arial"/>
          <w:i w:val="1"/>
          <w:sz w:val="24"/>
          <w:szCs w:val="24"/>
          <w:rtl w:val="0"/>
        </w:rPr>
        <w:t xml:space="preserve">responsable del SIG revisará</w:t>
      </w:r>
      <w:r w:rsidDel="00000000" w:rsidR="00000000" w:rsidRPr="00000000">
        <w:rPr>
          <w:rFonts w:ascii="Arial" w:cs="Arial" w:eastAsia="Arial" w:hAnsi="Arial"/>
          <w:sz w:val="24"/>
          <w:szCs w:val="24"/>
          <w:rtl w:val="0"/>
        </w:rPr>
        <w:t xml:space="preserve"> la implantación efectiva de dichas medidas en el módulo de seguimiento a las acciones del sistema </w:t>
      </w:r>
      <w:r w:rsidDel="00000000" w:rsidR="00000000" w:rsidRPr="00000000">
        <w:rPr>
          <w:rFonts w:ascii="Arial" w:cs="Arial" w:eastAsia="Arial" w:hAnsi="Arial"/>
          <w:b w:val="1"/>
          <w:sz w:val="24"/>
          <w:szCs w:val="24"/>
          <w:rtl w:val="0"/>
        </w:rPr>
        <w:t xml:space="preserve">Informe de Seguimient</w:t>
      </w:r>
      <w:r w:rsidDel="00000000" w:rsidR="00000000" w:rsidRPr="00000000">
        <w:rPr>
          <w:rFonts w:ascii="Arial" w:cs="Arial" w:eastAsia="Arial" w:hAnsi="Arial"/>
          <w:sz w:val="24"/>
          <w:szCs w:val="24"/>
          <w:rtl w:val="0"/>
        </w:rPr>
        <w:t xml:space="preserve">o en el que se indicará la situación actual de cada una de las acciones emprendidas y los aspectos más destacados acontecidos desde la última revisión que</w:t>
      </w:r>
    </w:p>
    <w:p w:rsidR="00000000" w:rsidDel="00000000" w:rsidP="00000000" w:rsidRDefault="00000000" w:rsidRPr="00000000" w14:paraId="00000066">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7">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informe de seguimiento de la auditoría interna, en caso de anotar una fecha superada, indicará nueva fecha de revisión.</w:t>
      </w:r>
    </w:p>
    <w:p w:rsidR="00000000" w:rsidDel="00000000" w:rsidP="00000000" w:rsidRDefault="00000000" w:rsidRPr="00000000" w14:paraId="0000006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9">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5. ANEXOS.</w:t>
      </w:r>
    </w:p>
    <w:p w:rsidR="00000000" w:rsidDel="00000000" w:rsidP="00000000" w:rsidRDefault="00000000" w:rsidRPr="00000000" w14:paraId="0000006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B">
      <w:pPr>
        <w:rPr>
          <w:rFonts w:ascii="Arial" w:cs="Arial" w:eastAsia="Arial" w:hAnsi="Arial"/>
          <w:sz w:val="24"/>
          <w:szCs w:val="24"/>
        </w:rPr>
      </w:pPr>
      <w:r w:rsidDel="00000000" w:rsidR="00000000" w:rsidRPr="00000000">
        <w:rPr>
          <w:rFonts w:ascii="Arial" w:cs="Arial" w:eastAsia="Arial" w:hAnsi="Arial"/>
          <w:sz w:val="24"/>
          <w:szCs w:val="24"/>
          <w:rtl w:val="0"/>
        </w:rPr>
        <w:t xml:space="preserve">Sistema de información Modulo de auditorías, donde está registrado :</w:t>
      </w:r>
    </w:p>
    <w:p w:rsidR="00000000" w:rsidDel="00000000" w:rsidP="00000000" w:rsidRDefault="00000000" w:rsidRPr="00000000" w14:paraId="0000006C">
      <w:pPr>
        <w:rPr>
          <w:rFonts w:ascii="Arial" w:cs="Arial" w:eastAsia="Arial" w:hAnsi="Arial"/>
          <w:sz w:val="24"/>
          <w:szCs w:val="24"/>
        </w:rPr>
      </w:pPr>
      <w:r w:rsidDel="00000000" w:rsidR="00000000" w:rsidRPr="00000000">
        <w:rPr>
          <w:rFonts w:ascii="Arial" w:cs="Arial" w:eastAsia="Arial" w:hAnsi="Arial"/>
          <w:sz w:val="24"/>
          <w:szCs w:val="24"/>
          <w:rtl w:val="0"/>
        </w:rPr>
        <w:t xml:space="preserve">Plan de auditoria</w:t>
      </w:r>
    </w:p>
    <w:p w:rsidR="00000000" w:rsidDel="00000000" w:rsidP="00000000" w:rsidRDefault="00000000" w:rsidRPr="00000000" w14:paraId="0000006D">
      <w:pPr>
        <w:rPr>
          <w:rFonts w:ascii="Arial" w:cs="Arial" w:eastAsia="Arial" w:hAnsi="Arial"/>
          <w:sz w:val="24"/>
          <w:szCs w:val="24"/>
        </w:rPr>
      </w:pPr>
      <w:r w:rsidDel="00000000" w:rsidR="00000000" w:rsidRPr="00000000">
        <w:rPr>
          <w:rFonts w:ascii="Arial" w:cs="Arial" w:eastAsia="Arial" w:hAnsi="Arial"/>
          <w:sz w:val="24"/>
          <w:szCs w:val="24"/>
          <w:rtl w:val="0"/>
        </w:rPr>
        <w:t xml:space="preserve">Informe de auditoria</w:t>
      </w:r>
    </w:p>
    <w:p w:rsidR="00000000" w:rsidDel="00000000" w:rsidP="00000000" w:rsidRDefault="00000000" w:rsidRPr="00000000" w14:paraId="0000006E">
      <w:pPr>
        <w:rPr>
          <w:rFonts w:ascii="Arial" w:cs="Arial" w:eastAsia="Arial" w:hAnsi="Arial"/>
          <w:sz w:val="24"/>
          <w:szCs w:val="24"/>
        </w:rPr>
      </w:pPr>
      <w:r w:rsidDel="00000000" w:rsidR="00000000" w:rsidRPr="00000000">
        <w:rPr>
          <w:rFonts w:ascii="Arial" w:cs="Arial" w:eastAsia="Arial" w:hAnsi="Arial"/>
          <w:sz w:val="24"/>
          <w:szCs w:val="24"/>
          <w:rtl w:val="0"/>
        </w:rPr>
        <w:t xml:space="preserve">La gestión de los no conformes</w:t>
      </w:r>
    </w:p>
    <w:p w:rsidR="00000000" w:rsidDel="00000000" w:rsidP="00000000" w:rsidRDefault="00000000" w:rsidRPr="00000000" w14:paraId="0000006F">
      <w:pPr>
        <w:rPr>
          <w:rFonts w:ascii="Arial" w:cs="Arial" w:eastAsia="Arial" w:hAnsi="Arial"/>
          <w:sz w:val="24"/>
          <w:szCs w:val="24"/>
        </w:rPr>
      </w:pPr>
      <w:r w:rsidDel="00000000" w:rsidR="00000000" w:rsidRPr="00000000">
        <w:rPr>
          <w:rFonts w:ascii="Arial" w:cs="Arial" w:eastAsia="Arial" w:hAnsi="Arial"/>
          <w:sz w:val="24"/>
          <w:szCs w:val="24"/>
          <w:rtl w:val="0"/>
        </w:rPr>
        <w:t xml:space="preserve">Creación plan de auditorias</w:t>
      </w:r>
    </w:p>
    <w:p w:rsidR="00000000" w:rsidDel="00000000" w:rsidP="00000000" w:rsidRDefault="00000000" w:rsidRPr="00000000" w14:paraId="0000007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4">
      <w:pPr>
        <w:rPr>
          <w:rFonts w:ascii="Arial" w:cs="Arial" w:eastAsia="Arial" w:hAnsi="Arial"/>
          <w:sz w:val="24"/>
          <w:szCs w:val="24"/>
        </w:rPr>
      </w:pPr>
      <w:r w:rsidDel="00000000" w:rsidR="00000000" w:rsidRPr="00000000">
        <w:rPr>
          <w:rFonts w:ascii="Arial" w:cs="Arial" w:eastAsia="Arial" w:hAnsi="Arial"/>
          <w:sz w:val="24"/>
          <w:szCs w:val="24"/>
          <w:rtl w:val="0"/>
        </w:rPr>
        <w:t xml:space="preserve">Desarrollo del informe</w:t>
      </w:r>
    </w:p>
    <w:p w:rsidR="00000000" w:rsidDel="00000000" w:rsidP="00000000" w:rsidRDefault="00000000" w:rsidRPr="00000000" w14:paraId="00000075">
      <w:pPr>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-571499</wp:posOffset>
                </wp:positionH>
                <wp:positionV relativeFrom="paragraph">
                  <wp:posOffset>203200</wp:posOffset>
                </wp:positionV>
                <wp:extent cx="6659789" cy="2944722"/>
                <wp:effectExtent b="0" l="0" r="0" t="0"/>
                <wp:wrapNone/>
                <wp:docPr id="881175507" name=""/>
                <a:graphic>
                  <a:graphicData uri="http://schemas.microsoft.com/office/word/2010/wordprocessingGroup">
                    <wpg:wgp>
                      <wpg:cNvGrpSpPr/>
                      <wpg:grpSpPr>
                        <a:xfrm>
                          <a:off x="2009750" y="2301275"/>
                          <a:ext cx="6659789" cy="2944722"/>
                          <a:chOff x="2009750" y="2301275"/>
                          <a:chExt cx="6666150" cy="2951100"/>
                        </a:xfrm>
                      </wpg:grpSpPr>
                      <wpg:grpSp>
                        <wpg:cNvGrpSpPr/>
                        <wpg:grpSpPr>
                          <a:xfrm>
                            <a:off x="2016106" y="2307639"/>
                            <a:ext cx="6659789" cy="2944722"/>
                            <a:chOff x="2016106" y="2307639"/>
                            <a:chExt cx="6659789" cy="2944722"/>
                          </a:xfrm>
                        </wpg:grpSpPr>
                        <wps:wsp>
                          <wps:cNvSpPr/>
                          <wps:cNvPr id="3" name="Shape 3"/>
                          <wps:spPr>
                            <a:xfrm>
                              <a:off x="2016106" y="2307639"/>
                              <a:ext cx="6659775" cy="2944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016106" y="2307639"/>
                              <a:ext cx="6659789" cy="2944722"/>
                              <a:chOff x="2568388" y="1923379"/>
                              <a:chExt cx="7153462" cy="3146461"/>
                            </a:xfrm>
                          </wpg:grpSpPr>
                          <wps:wsp>
                            <wps:cNvSpPr/>
                            <wps:cNvPr id="10" name="Shape 10"/>
                            <wps:spPr>
                              <a:xfrm>
                                <a:off x="2568388" y="1923379"/>
                                <a:ext cx="7153450" cy="3146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1" name="Shape 11"/>
                              <pic:cNvPicPr preferRelativeResize="0"/>
                            </pic:nvPicPr>
                            <pic:blipFill rotWithShape="1">
                              <a:blip r:embed="rId11">
                                <a:alphaModFix/>
                              </a:blip>
                              <a:srcRect b="0" l="0" r="0" t="0"/>
                              <a:stretch/>
                            </pic:blipFill>
                            <pic:spPr>
                              <a:xfrm>
                                <a:off x="2757714" y="2235200"/>
                                <a:ext cx="6964136" cy="2834640"/>
                              </a:xfrm>
                              <a:prstGeom prst="rect">
                                <a:avLst/>
                              </a:prstGeom>
                              <a:noFill/>
                              <a:ln>
                                <a:noFill/>
                              </a:ln>
                            </pic:spPr>
                          </pic:pic>
                          <wps:wsp>
                            <wps:cNvSpPr/>
                            <wps:cNvPr id="12" name="Shape 12"/>
                            <wps:spPr>
                              <a:xfrm>
                                <a:off x="2568388" y="1923379"/>
                                <a:ext cx="2232212" cy="201705"/>
                              </a:xfrm>
                              <a:prstGeom prst="rect">
                                <a:avLst/>
                              </a:prstGeom>
                              <a:solidFill>
                                <a:schemeClr val="lt1"/>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-571499</wp:posOffset>
                </wp:positionH>
                <wp:positionV relativeFrom="paragraph">
                  <wp:posOffset>203200</wp:posOffset>
                </wp:positionV>
                <wp:extent cx="6659789" cy="2944722"/>
                <wp:effectExtent b="0" l="0" r="0" t="0"/>
                <wp:wrapNone/>
                <wp:docPr id="881175507"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6659789" cy="2944722"/>
                        </a:xfrm>
                        <a:prstGeom prst="rect"/>
                        <a:ln/>
                      </pic:spPr>
                    </pic:pic>
                  </a:graphicData>
                </a:graphic>
              </wp:anchor>
            </w:drawing>
          </mc:Fallback>
        </mc:AlternateContent>
      </w:r>
    </w:p>
    <w:p w:rsidR="00000000" w:rsidDel="00000000" w:rsidP="00000000" w:rsidRDefault="00000000" w:rsidRPr="00000000" w14:paraId="0000007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9">
      <w:pPr>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-279399</wp:posOffset>
                </wp:positionH>
                <wp:positionV relativeFrom="paragraph">
                  <wp:posOffset>203200</wp:posOffset>
                </wp:positionV>
                <wp:extent cx="6078220" cy="3962400"/>
                <wp:effectExtent b="0" l="0" r="0" t="0"/>
                <wp:wrapNone/>
                <wp:docPr id="881175506" name=""/>
                <a:graphic>
                  <a:graphicData uri="http://schemas.microsoft.com/office/word/2010/wordprocessingGroup">
                    <wpg:wgp>
                      <wpg:cNvGrpSpPr/>
                      <wpg:grpSpPr>
                        <a:xfrm>
                          <a:off x="2306875" y="1798800"/>
                          <a:ext cx="6078220" cy="3962400"/>
                          <a:chOff x="2306875" y="1798800"/>
                          <a:chExt cx="6078250" cy="3962400"/>
                        </a:xfrm>
                      </wpg:grpSpPr>
                      <wpg:grpSp>
                        <wpg:cNvGrpSpPr/>
                        <wpg:grpSpPr>
                          <a:xfrm>
                            <a:off x="2306890" y="1798800"/>
                            <a:ext cx="6078220" cy="3962400"/>
                            <a:chOff x="2306890" y="1798800"/>
                            <a:chExt cx="6078220" cy="3962400"/>
                          </a:xfrm>
                        </wpg:grpSpPr>
                        <wps:wsp>
                          <wps:cNvSpPr/>
                          <wps:cNvPr id="3" name="Shape 3"/>
                          <wps:spPr>
                            <a:xfrm>
                              <a:off x="2306890" y="1798800"/>
                              <a:ext cx="6078200" cy="3962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06890" y="1798800"/>
                              <a:ext cx="6078220" cy="3962400"/>
                              <a:chOff x="0" y="0"/>
                              <a:chExt cx="8491221" cy="4854389"/>
                            </a:xfrm>
                          </wpg:grpSpPr>
                          <wps:wsp>
                            <wps:cNvSpPr/>
                            <wps:cNvPr id="5" name="Shape 5"/>
                            <wps:spPr>
                              <a:xfrm>
                                <a:off x="0" y="0"/>
                                <a:ext cx="8491200" cy="4854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13">
                                <a:alphaModFix/>
                              </a:blip>
                              <a:srcRect b="0" l="0" r="0" t="0"/>
                              <a:stretch/>
                            </pic:blipFill>
                            <pic:spPr>
                              <a:xfrm>
                                <a:off x="0" y="0"/>
                                <a:ext cx="8491221" cy="4854389"/>
                              </a:xfrm>
                              <a:prstGeom prst="rect">
                                <a:avLst/>
                              </a:prstGeom>
                              <a:noFill/>
                              <a:ln>
                                <a:noFill/>
                              </a:ln>
                            </pic:spPr>
                          </pic:pic>
                          <wps:wsp>
                            <wps:cNvSpPr/>
                            <wps:cNvPr id="7" name="Shape 7"/>
                            <wps:spPr>
                              <a:xfrm>
                                <a:off x="2238338" y="1129552"/>
                                <a:ext cx="1949823" cy="242048"/>
                              </a:xfrm>
                              <a:prstGeom prst="rect">
                                <a:avLst/>
                              </a:prstGeom>
                              <a:solidFill>
                                <a:schemeClr val="lt1"/>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-279399</wp:posOffset>
                </wp:positionH>
                <wp:positionV relativeFrom="paragraph">
                  <wp:posOffset>203200</wp:posOffset>
                </wp:positionV>
                <wp:extent cx="6078220" cy="3962400"/>
                <wp:effectExtent b="0" l="0" r="0" t="0"/>
                <wp:wrapNone/>
                <wp:docPr id="881175506"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6078220" cy="3962400"/>
                        </a:xfrm>
                        <a:prstGeom prst="rect"/>
                        <a:ln/>
                      </pic:spPr>
                    </pic:pic>
                  </a:graphicData>
                </a:graphic>
              </wp:anchor>
            </w:drawing>
          </mc:Fallback>
        </mc:AlternateContent>
      </w:r>
    </w:p>
    <w:p w:rsidR="00000000" w:rsidDel="00000000" w:rsidP="00000000" w:rsidRDefault="00000000" w:rsidRPr="00000000" w14:paraId="0000008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A">
      <w:pPr>
        <w:rPr>
          <w:rFonts w:ascii="Arial" w:cs="Arial" w:eastAsia="Arial" w:hAnsi="Arial"/>
          <w:sz w:val="24"/>
          <w:szCs w:val="24"/>
        </w:rPr>
      </w:pPr>
      <w:r w:rsidDel="00000000" w:rsidR="00000000" w:rsidRPr="00000000">
        <w:rPr>
          <w:rFonts w:ascii="Arial" w:cs="Arial" w:eastAsia="Arial" w:hAnsi="Arial"/>
          <w:sz w:val="24"/>
          <w:szCs w:val="24"/>
          <w:rtl w:val="0"/>
        </w:rPr>
        <w:t xml:space="preserve">Inscripción de no conformidades </w:t>
      </w:r>
    </w:p>
    <w:p w:rsidR="00000000" w:rsidDel="00000000" w:rsidP="00000000" w:rsidRDefault="00000000" w:rsidRPr="00000000" w14:paraId="0000009B">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400040" cy="2299335"/>
            <wp:effectExtent b="0" l="0" r="0" t="0"/>
            <wp:docPr id="881175508"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400040" cy="2299335"/>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D">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400675" cy="1250833"/>
            <wp:effectExtent b="0" l="0" r="0" t="0"/>
            <wp:docPr id="881175510" name="image3.png"/>
            <a:graphic>
              <a:graphicData uri="http://schemas.openxmlformats.org/drawingml/2006/picture">
                <pic:pic>
                  <pic:nvPicPr>
                    <pic:cNvPr id="0" name="image3.png"/>
                    <pic:cNvPicPr preferRelativeResize="0"/>
                  </pic:nvPicPr>
                  <pic:blipFill>
                    <a:blip r:embed="rId16"/>
                    <a:srcRect b="0" l="0" r="0" t="23204"/>
                    <a:stretch>
                      <a:fillRect/>
                    </a:stretch>
                  </pic:blipFill>
                  <pic:spPr>
                    <a:xfrm>
                      <a:off x="0" y="0"/>
                      <a:ext cx="5400675" cy="1250833"/>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0">
      <w:pPr>
        <w:rPr>
          <w:rFonts w:ascii="Arial" w:cs="Arial" w:eastAsia="Arial" w:hAnsi="Arial"/>
          <w:sz w:val="24"/>
          <w:szCs w:val="24"/>
        </w:rPr>
      </w:pPr>
      <w:r w:rsidDel="00000000" w:rsidR="00000000" w:rsidRPr="00000000">
        <w:rPr>
          <w:rFonts w:ascii="Arial" w:cs="Arial" w:eastAsia="Arial" w:hAnsi="Arial"/>
          <w:sz w:val="24"/>
          <w:szCs w:val="24"/>
          <w:rtl w:val="0"/>
        </w:rPr>
        <w:t xml:space="preserve">Análisis de la no conformidad </w:t>
      </w:r>
    </w:p>
    <w:p w:rsidR="00000000" w:rsidDel="00000000" w:rsidP="00000000" w:rsidRDefault="00000000" w:rsidRPr="00000000" w14:paraId="000000A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2">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400675" cy="2441310"/>
            <wp:effectExtent b="0" l="0" r="0" t="0"/>
            <wp:docPr id="881175509" name="image2.png"/>
            <a:graphic>
              <a:graphicData uri="http://schemas.openxmlformats.org/drawingml/2006/picture">
                <pic:pic>
                  <pic:nvPicPr>
                    <pic:cNvPr id="0" name="image2.png"/>
                    <pic:cNvPicPr preferRelativeResize="0"/>
                  </pic:nvPicPr>
                  <pic:blipFill>
                    <a:blip r:embed="rId17"/>
                    <a:srcRect b="0" l="0" r="0" t="13410"/>
                    <a:stretch>
                      <a:fillRect/>
                    </a:stretch>
                  </pic:blipFill>
                  <pic:spPr>
                    <a:xfrm>
                      <a:off x="0" y="0"/>
                      <a:ext cx="5400675" cy="244131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6">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400040" cy="3089910"/>
            <wp:effectExtent b="0" l="0" r="0" t="0"/>
            <wp:docPr id="881175512"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5400040" cy="308991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8">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3307384" cy="3025415"/>
            <wp:effectExtent b="0" l="0" r="0" t="0"/>
            <wp:docPr id="881175511"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3307384" cy="3025415"/>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120" w:lineRule="auto"/>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120" w:lineRule="auto"/>
        <w:rPr>
          <w:rFonts w:ascii="Arial" w:cs="Arial" w:eastAsia="Arial" w:hAnsi="Arial"/>
          <w:b w:val="1"/>
          <w:color w:val="000000"/>
          <w:sz w:val="24"/>
          <w:szCs w:val="24"/>
        </w:rPr>
      </w:pPr>
      <w:r w:rsidDel="00000000" w:rsidR="00000000" w:rsidRPr="00000000">
        <w:rPr>
          <w:rtl w:val="0"/>
        </w:rPr>
      </w:r>
    </w:p>
    <w:tbl>
      <w:tblPr>
        <w:tblStyle w:val="Table2"/>
        <w:tblW w:w="10360.0" w:type="dxa"/>
        <w:jc w:val="center"/>
        <w:tblLayout w:type="fixed"/>
        <w:tblLook w:val="0400"/>
      </w:tblPr>
      <w:tblGrid>
        <w:gridCol w:w="1300"/>
        <w:gridCol w:w="1800"/>
        <w:gridCol w:w="4125"/>
        <w:gridCol w:w="1835"/>
        <w:gridCol w:w="1300"/>
        <w:tblGridChange w:id="0">
          <w:tblGrid>
            <w:gridCol w:w="1300"/>
            <w:gridCol w:w="1800"/>
            <w:gridCol w:w="4125"/>
            <w:gridCol w:w="1835"/>
            <w:gridCol w:w="1300"/>
          </w:tblGrid>
        </w:tblGridChange>
      </w:tblGrid>
      <w:tr>
        <w:trPr>
          <w:cantSplit w:val="0"/>
          <w:trHeight w:val="497" w:hRule="atLeast"/>
          <w:tblHeader w:val="0"/>
        </w:trPr>
        <w:tc>
          <w:tcPr>
            <w:gridSpan w:val="5"/>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B">
            <w:pPr>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CONTROL DE CAMBIOS</w:t>
            </w:r>
          </w:p>
        </w:tc>
      </w:tr>
      <w:tr>
        <w:trPr>
          <w:cantSplit w:val="0"/>
          <w:trHeight w:val="7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0">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VERSIÓN DEL DOC.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1">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FECHA DEL CAMBIO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2">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CAMBIO REALIZADO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3">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VIGENCIA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4">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NUEVA VERSIÓN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5">
            <w:pPr>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6">
            <w:pPr>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01/</w:t>
            </w:r>
            <w:r w:rsidDel="00000000" w:rsidR="00000000" w:rsidRPr="00000000">
              <w:rPr>
                <w:rFonts w:ascii="Arial" w:cs="Arial" w:eastAsia="Arial" w:hAnsi="Arial"/>
                <w:sz w:val="24"/>
                <w:szCs w:val="24"/>
                <w:rtl w:val="0"/>
              </w:rPr>
              <w:t xml:space="preserve">01</w:t>
            </w:r>
            <w:r w:rsidDel="00000000" w:rsidR="00000000" w:rsidRPr="00000000">
              <w:rPr>
                <w:rFonts w:ascii="Arial" w:cs="Arial" w:eastAsia="Arial" w:hAnsi="Arial"/>
                <w:color w:val="000000"/>
                <w:sz w:val="24"/>
                <w:szCs w:val="24"/>
                <w:rtl w:val="0"/>
              </w:rPr>
              <w:t xml:space="preserve">/</w:t>
            </w:r>
            <w:r w:rsidDel="00000000" w:rsidR="00000000" w:rsidRPr="00000000">
              <w:rPr>
                <w:rFonts w:ascii="Arial" w:cs="Arial" w:eastAsia="Arial" w:hAnsi="Arial"/>
                <w:sz w:val="24"/>
                <w:szCs w:val="24"/>
                <w:rtl w:val="0"/>
              </w:rPr>
              <w:t xml:space="preserve">2024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7">
            <w:pPr>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Creación del documento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8">
            <w:pPr>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DD / MM / AA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9">
            <w:pPr>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0</w:t>
            </w:r>
          </w:p>
        </w:tc>
      </w:tr>
    </w:tbl>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120" w:lineRule="auto"/>
        <w:rPr>
          <w:rFonts w:ascii="Arial" w:cs="Arial" w:eastAsia="Arial" w:hAnsi="Arial"/>
          <w:b w:val="1"/>
          <w:color w:val="000000"/>
          <w:sz w:val="24"/>
          <w:szCs w:val="24"/>
        </w:rPr>
      </w:pPr>
      <w:r w:rsidDel="00000000" w:rsidR="00000000" w:rsidRPr="00000000">
        <w:rPr>
          <w:rtl w:val="0"/>
        </w:rPr>
      </w:r>
    </w:p>
    <w:sectPr>
      <w:headerReference r:id="rId20"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b w:val="1"/>
        <w:color w:val="000000"/>
        <w:sz w:val="22"/>
        <w:szCs w:val="22"/>
      </w:rPr>
    </w:pPr>
    <w:r w:rsidDel="00000000" w:rsidR="00000000" w:rsidRPr="00000000">
      <w:rPr>
        <w:rtl w:val="0"/>
      </w:rPr>
    </w:r>
  </w:p>
  <w:tbl>
    <w:tblPr>
      <w:tblStyle w:val="Table3"/>
      <w:tblW w:w="987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3875"/>
      <w:gridCol w:w="1496"/>
      <w:gridCol w:w="2094"/>
      <w:tblGridChange w:id="0">
        <w:tblGrid>
          <w:gridCol w:w="2405"/>
          <w:gridCol w:w="3875"/>
          <w:gridCol w:w="1496"/>
          <w:gridCol w:w="2094"/>
        </w:tblGrid>
      </w:tblGridChange>
    </w:tblGrid>
    <w:tr>
      <w:trPr>
        <w:cantSplit w:val="0"/>
        <w:trHeight w:val="415" w:hRule="atLeast"/>
        <w:tblHeader w:val="0"/>
      </w:trPr>
      <w:tc>
        <w:tcPr>
          <w:vMerge w:val="restart"/>
          <w:vAlign w:val="center"/>
        </w:tcPr>
        <w:p w:rsidR="00000000" w:rsidDel="00000000" w:rsidP="00000000" w:rsidRDefault="00000000" w:rsidRPr="00000000" w14:paraId="000000BC">
          <w:pPr>
            <w:jc w:val="center"/>
            <w:rPr>
              <w:rFonts w:ascii="Arial" w:cs="Arial" w:eastAsia="Arial" w:hAnsi="Arial"/>
              <w:color w:val="000000"/>
              <w:sz w:val="24"/>
              <w:szCs w:val="24"/>
            </w:rPr>
          </w:pPr>
          <w:r w:rsidDel="00000000" w:rsidR="00000000" w:rsidRPr="00000000">
            <w:rPr/>
            <w:drawing>
              <wp:inline distB="0" distT="0" distL="0" distR="0">
                <wp:extent cx="1438275" cy="993775"/>
                <wp:effectExtent b="0" l="0" r="0" t="0"/>
                <wp:docPr id="881175513" name="image6.jpg"/>
                <a:graphic>
                  <a:graphicData uri="http://schemas.openxmlformats.org/drawingml/2006/picture">
                    <pic:pic>
                      <pic:nvPicPr>
                        <pic:cNvPr id="0" name="image6.jpg"/>
                        <pic:cNvPicPr preferRelativeResize="0"/>
                      </pic:nvPicPr>
                      <pic:blipFill>
                        <a:blip r:embed="rId1"/>
                        <a:srcRect b="0" l="0" r="0" t="0"/>
                        <a:stretch>
                          <a:fillRect/>
                        </a:stretch>
                      </pic:blipFill>
                      <pic:spPr>
                        <a:xfrm>
                          <a:off x="0" y="0"/>
                          <a:ext cx="1438275" cy="993775"/>
                        </a:xfrm>
                        <a:prstGeom prst="rect"/>
                        <a:ln/>
                      </pic:spPr>
                    </pic:pic>
                  </a:graphicData>
                </a:graphic>
              </wp:inline>
            </w:drawing>
          </w:r>
          <w:r w:rsidDel="00000000" w:rsidR="00000000" w:rsidRPr="00000000">
            <w:rPr>
              <w:rtl w:val="0"/>
            </w:rPr>
          </w:r>
        </w:p>
      </w:tc>
      <w:tc>
        <w:tcPr>
          <w:gridSpan w:val="3"/>
          <w:vAlign w:val="center"/>
        </w:tcPr>
        <w:p w:rsidR="00000000" w:rsidDel="00000000" w:rsidP="00000000" w:rsidRDefault="00000000" w:rsidRPr="00000000" w14:paraId="000000BD">
          <w:pPr>
            <w:widowControl w:val="1"/>
            <w:pBdr>
              <w:top w:space="0" w:sz="0" w:val="nil"/>
              <w:left w:space="0" w:sz="0" w:val="nil"/>
              <w:bottom w:space="0" w:sz="0" w:val="nil"/>
              <w:right w:space="0" w:sz="0" w:val="nil"/>
              <w:between w:space="0" w:sz="0" w:val="nil"/>
            </w:pBdr>
            <w:tabs>
              <w:tab w:val="center" w:leader="none" w:pos="4252"/>
              <w:tab w:val="right" w:leader="none" w:pos="8504"/>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GESTIÓN SIG</w:t>
          </w:r>
        </w:p>
      </w:tc>
    </w:tr>
    <w:tr>
      <w:trPr>
        <w:cantSplit w:val="0"/>
        <w:tblHeader w:val="0"/>
      </w:trPr>
      <w:tc>
        <w:tcPr>
          <w:vMerge w:val="continue"/>
          <w:vAlign w:val="cente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4"/>
              <w:szCs w:val="24"/>
            </w:rPr>
          </w:pPr>
          <w:r w:rsidDel="00000000" w:rsidR="00000000" w:rsidRPr="00000000">
            <w:rPr>
              <w:rtl w:val="0"/>
            </w:rPr>
          </w:r>
        </w:p>
      </w:tc>
      <w:tc>
        <w:tcPr>
          <w:tcMar>
            <w:left w:w="108.0" w:type="dxa"/>
            <w:right w:w="108.0" w:type="dxa"/>
          </w:tcMar>
          <w:vAlign w:val="center"/>
        </w:tcPr>
        <w:p w:rsidR="00000000" w:rsidDel="00000000" w:rsidP="00000000" w:rsidRDefault="00000000" w:rsidRPr="00000000" w14:paraId="000000C1">
          <w:pPr>
            <w:widowControl w:val="1"/>
            <w:pBdr>
              <w:top w:space="0" w:sz="0" w:val="nil"/>
              <w:left w:space="0" w:sz="0" w:val="nil"/>
              <w:bottom w:space="0" w:sz="0" w:val="nil"/>
              <w:right w:space="0" w:sz="0" w:val="nil"/>
              <w:between w:space="0" w:sz="0" w:val="nil"/>
            </w:pBdr>
            <w:tabs>
              <w:tab w:val="center" w:leader="none" w:pos="4252"/>
              <w:tab w:val="right" w:leader="none" w:pos="8504"/>
            </w:tabs>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PROCEDIMIENTO DE AUDITORIAS INTERNAS </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line="276" w:lineRule="auto"/>
            <w:rPr>
              <w:rFonts w:ascii="Arial" w:cs="Arial" w:eastAsia="Arial" w:hAnsi="Arial"/>
              <w:color w:val="000000"/>
              <w:sz w:val="24"/>
              <w:szCs w:val="24"/>
            </w:rPr>
          </w:pPr>
          <w:r w:rsidDel="00000000" w:rsidR="00000000" w:rsidRPr="00000000">
            <w:rPr>
              <w:rtl w:val="0"/>
            </w:rPr>
          </w:r>
        </w:p>
      </w:tc>
      <w:tc>
        <w:tcPr>
          <w:tcMar>
            <w:left w:w="108.0" w:type="dxa"/>
            <w:right w:w="108.0" w:type="dxa"/>
          </w:tcMar>
          <w:vAlign w:val="center"/>
        </w:tcPr>
        <w:p w:rsidR="00000000" w:rsidDel="00000000" w:rsidP="00000000" w:rsidRDefault="00000000" w:rsidRPr="00000000" w14:paraId="000000C3">
          <w:pPr>
            <w:widowControl w:val="1"/>
            <w:pBdr>
              <w:top w:space="0" w:sz="0" w:val="nil"/>
              <w:left w:space="0" w:sz="0" w:val="nil"/>
              <w:bottom w:space="0" w:sz="0" w:val="nil"/>
              <w:right w:space="0" w:sz="0" w:val="nil"/>
              <w:between w:space="0" w:sz="0" w:val="nil"/>
            </w:pBdr>
            <w:tabs>
              <w:tab w:val="center" w:leader="none" w:pos="4252"/>
              <w:tab w:val="right" w:leader="none" w:pos="8504"/>
            </w:tabs>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Versión: 01</w:t>
          </w:r>
        </w:p>
      </w:tc>
      <w:tc>
        <w:tcPr>
          <w:tcMar>
            <w:left w:w="108.0" w:type="dxa"/>
            <w:right w:w="108.0" w:type="dxa"/>
          </w:tcMar>
          <w:vAlign w:val="center"/>
        </w:tcPr>
        <w:p w:rsidR="00000000" w:rsidDel="00000000" w:rsidP="00000000" w:rsidRDefault="00000000" w:rsidRPr="00000000" w14:paraId="000000C4">
          <w:pPr>
            <w:widowControl w:val="1"/>
            <w:pBdr>
              <w:top w:space="0" w:sz="0" w:val="nil"/>
              <w:left w:space="0" w:sz="0" w:val="nil"/>
              <w:bottom w:space="0" w:sz="0" w:val="nil"/>
              <w:right w:space="0" w:sz="0" w:val="nil"/>
              <w:between w:space="0" w:sz="0" w:val="nil"/>
            </w:pBdr>
            <w:tabs>
              <w:tab w:val="center" w:leader="none" w:pos="4252"/>
              <w:tab w:val="right" w:leader="none" w:pos="8504"/>
            </w:tabs>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Página </w:t>
          </w:r>
          <w:r w:rsidDel="00000000" w:rsidR="00000000" w:rsidRPr="00000000">
            <w:rPr>
              <w:rFonts w:ascii="Arial" w:cs="Arial" w:eastAsia="Arial" w:hAnsi="Arial"/>
              <w:b w:val="1"/>
              <w:color w:val="000000"/>
              <w:sz w:val="24"/>
              <w:szCs w:val="24"/>
            </w:rPr>
            <w:fldChar w:fldCharType="begin"/>
            <w:instrText xml:space="preserve">PAGE</w:instrText>
            <w:fldChar w:fldCharType="separate"/>
            <w:fldChar w:fldCharType="end"/>
          </w:r>
          <w:r w:rsidDel="00000000" w:rsidR="00000000" w:rsidRPr="00000000">
            <w:rPr>
              <w:rFonts w:ascii="Arial" w:cs="Arial" w:eastAsia="Arial" w:hAnsi="Arial"/>
              <w:color w:val="000000"/>
              <w:sz w:val="24"/>
              <w:szCs w:val="24"/>
              <w:rtl w:val="0"/>
            </w:rPr>
            <w:t xml:space="preserve"> de </w:t>
          </w:r>
          <w:r w:rsidDel="00000000" w:rsidR="00000000" w:rsidRPr="00000000">
            <w:rPr>
              <w:rFonts w:ascii="Arial" w:cs="Arial" w:eastAsia="Arial" w:hAnsi="Arial"/>
              <w:b w:val="1"/>
              <w:color w:val="000000"/>
              <w:sz w:val="24"/>
              <w:szCs w:val="24"/>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0C5">
    <w:pPr>
      <w:pBdr>
        <w:top w:space="0" w:sz="0" w:val="nil"/>
        <w:left w:space="0" w:sz="0" w:val="nil"/>
        <w:bottom w:space="0" w:sz="0" w:val="nil"/>
        <w:right w:space="0" w:sz="0" w:val="nil"/>
        <w:between w:space="0" w:sz="0" w:val="nil"/>
      </w:pBdr>
      <w:tabs>
        <w:tab w:val="center" w:leader="none" w:pos="4252"/>
        <w:tab w:val="right" w:leader="none" w:pos="8504"/>
      </w:tabs>
      <w:jc w:val="both"/>
      <w:rPr>
        <w:rFonts w:ascii="Arial" w:cs="Arial" w:eastAsia="Arial" w:hAnsi="Arial"/>
        <w:color w:val="000000"/>
        <w:sz w:val="22"/>
        <w:szCs w:val="2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ahoma" w:cs="Tahoma" w:eastAsia="Tahoma" w:hAnsi="Tahoma"/>
      </w:rPr>
    </w:lvl>
    <w:lvl w:ilvl="1">
      <w:start w:val="1"/>
      <w:numFmt w:val="bullet"/>
      <w:lvlText w:val="•"/>
      <w:lvlJc w:val="left"/>
      <w:pPr>
        <w:ind w:left="1440" w:hanging="360"/>
      </w:pPr>
      <w:rPr>
        <w:rFonts w:ascii="Tahoma" w:cs="Tahoma" w:eastAsia="Tahoma" w:hAnsi="Tahoma"/>
      </w:rPr>
    </w:lvl>
    <w:lvl w:ilvl="2">
      <w:start w:val="1"/>
      <w:numFmt w:val="bullet"/>
      <w:lvlText w:val="•"/>
      <w:lvlJc w:val="left"/>
      <w:pPr>
        <w:ind w:left="2160" w:hanging="360"/>
      </w:pPr>
      <w:rPr>
        <w:rFonts w:ascii="Tahoma" w:cs="Tahoma" w:eastAsia="Tahoma" w:hAnsi="Tahoma"/>
      </w:rPr>
    </w:lvl>
    <w:lvl w:ilvl="3">
      <w:start w:val="1"/>
      <w:numFmt w:val="bullet"/>
      <w:lvlText w:val="•"/>
      <w:lvlJc w:val="left"/>
      <w:pPr>
        <w:ind w:left="2880" w:hanging="360"/>
      </w:pPr>
      <w:rPr>
        <w:rFonts w:ascii="Tahoma" w:cs="Tahoma" w:eastAsia="Tahoma" w:hAnsi="Tahoma"/>
      </w:rPr>
    </w:lvl>
    <w:lvl w:ilvl="4">
      <w:start w:val="1"/>
      <w:numFmt w:val="bullet"/>
      <w:lvlText w:val="•"/>
      <w:lvlJc w:val="left"/>
      <w:pPr>
        <w:ind w:left="3600" w:hanging="360"/>
      </w:pPr>
      <w:rPr>
        <w:rFonts w:ascii="Tahoma" w:cs="Tahoma" w:eastAsia="Tahoma" w:hAnsi="Tahoma"/>
      </w:rPr>
    </w:lvl>
    <w:lvl w:ilvl="5">
      <w:start w:val="1"/>
      <w:numFmt w:val="bullet"/>
      <w:lvlText w:val="•"/>
      <w:lvlJc w:val="left"/>
      <w:pPr>
        <w:ind w:left="4320" w:hanging="360"/>
      </w:pPr>
      <w:rPr>
        <w:rFonts w:ascii="Tahoma" w:cs="Tahoma" w:eastAsia="Tahoma" w:hAnsi="Tahoma"/>
      </w:rPr>
    </w:lvl>
    <w:lvl w:ilvl="6">
      <w:start w:val="1"/>
      <w:numFmt w:val="bullet"/>
      <w:lvlText w:val="•"/>
      <w:lvlJc w:val="left"/>
      <w:pPr>
        <w:ind w:left="5040" w:hanging="360"/>
      </w:pPr>
      <w:rPr>
        <w:rFonts w:ascii="Tahoma" w:cs="Tahoma" w:eastAsia="Tahoma" w:hAnsi="Tahoma"/>
      </w:rPr>
    </w:lvl>
    <w:lvl w:ilvl="7">
      <w:start w:val="1"/>
      <w:numFmt w:val="bullet"/>
      <w:lvlText w:val="•"/>
      <w:lvlJc w:val="left"/>
      <w:pPr>
        <w:ind w:left="5760" w:hanging="360"/>
      </w:pPr>
      <w:rPr>
        <w:rFonts w:ascii="Tahoma" w:cs="Tahoma" w:eastAsia="Tahoma" w:hAnsi="Tahoma"/>
      </w:rPr>
    </w:lvl>
    <w:lvl w:ilvl="8">
      <w:start w:val="1"/>
      <w:numFmt w:val="bullet"/>
      <w:lvlText w:val="•"/>
      <w:lvlJc w:val="left"/>
      <w:pPr>
        <w:ind w:left="6480" w:hanging="360"/>
      </w:pPr>
      <w:rPr>
        <w:rFonts w:ascii="Tahoma" w:cs="Tahoma" w:eastAsia="Tahoma" w:hAnsi="Tahoma"/>
      </w:rPr>
    </w:lvl>
  </w:abstractNum>
  <w:abstractNum w:abstractNumId="2">
    <w:lvl w:ilvl="0">
      <w:start w:val="1"/>
      <w:numFmt w:val="bullet"/>
      <w:lvlText w:val="•"/>
      <w:lvlJc w:val="left"/>
      <w:pPr>
        <w:ind w:left="720" w:hanging="360"/>
      </w:pPr>
      <w:rPr>
        <w:rFonts w:ascii="Tahoma" w:cs="Tahoma" w:eastAsia="Tahoma" w:hAnsi="Tahoma"/>
      </w:rPr>
    </w:lvl>
    <w:lvl w:ilvl="1">
      <w:start w:val="1"/>
      <w:numFmt w:val="bullet"/>
      <w:lvlText w:val="•"/>
      <w:lvlJc w:val="left"/>
      <w:pPr>
        <w:ind w:left="1440" w:hanging="360"/>
      </w:pPr>
      <w:rPr>
        <w:rFonts w:ascii="Tahoma" w:cs="Tahoma" w:eastAsia="Tahoma" w:hAnsi="Tahoma"/>
      </w:rPr>
    </w:lvl>
    <w:lvl w:ilvl="2">
      <w:start w:val="1"/>
      <w:numFmt w:val="bullet"/>
      <w:lvlText w:val="•"/>
      <w:lvlJc w:val="left"/>
      <w:pPr>
        <w:ind w:left="2160" w:hanging="360"/>
      </w:pPr>
      <w:rPr>
        <w:rFonts w:ascii="Tahoma" w:cs="Tahoma" w:eastAsia="Tahoma" w:hAnsi="Tahoma"/>
      </w:rPr>
    </w:lvl>
    <w:lvl w:ilvl="3">
      <w:start w:val="1"/>
      <w:numFmt w:val="bullet"/>
      <w:lvlText w:val="•"/>
      <w:lvlJc w:val="left"/>
      <w:pPr>
        <w:ind w:left="2880" w:hanging="360"/>
      </w:pPr>
      <w:rPr>
        <w:rFonts w:ascii="Tahoma" w:cs="Tahoma" w:eastAsia="Tahoma" w:hAnsi="Tahoma"/>
      </w:rPr>
    </w:lvl>
    <w:lvl w:ilvl="4">
      <w:start w:val="1"/>
      <w:numFmt w:val="bullet"/>
      <w:lvlText w:val="•"/>
      <w:lvlJc w:val="left"/>
      <w:pPr>
        <w:ind w:left="3600" w:hanging="360"/>
      </w:pPr>
      <w:rPr>
        <w:rFonts w:ascii="Tahoma" w:cs="Tahoma" w:eastAsia="Tahoma" w:hAnsi="Tahoma"/>
      </w:rPr>
    </w:lvl>
    <w:lvl w:ilvl="5">
      <w:start w:val="1"/>
      <w:numFmt w:val="bullet"/>
      <w:lvlText w:val="•"/>
      <w:lvlJc w:val="left"/>
      <w:pPr>
        <w:ind w:left="4320" w:hanging="360"/>
      </w:pPr>
      <w:rPr>
        <w:rFonts w:ascii="Tahoma" w:cs="Tahoma" w:eastAsia="Tahoma" w:hAnsi="Tahoma"/>
      </w:rPr>
    </w:lvl>
    <w:lvl w:ilvl="6">
      <w:start w:val="1"/>
      <w:numFmt w:val="bullet"/>
      <w:lvlText w:val="•"/>
      <w:lvlJc w:val="left"/>
      <w:pPr>
        <w:ind w:left="5040" w:hanging="360"/>
      </w:pPr>
      <w:rPr>
        <w:rFonts w:ascii="Tahoma" w:cs="Tahoma" w:eastAsia="Tahoma" w:hAnsi="Tahoma"/>
      </w:rPr>
    </w:lvl>
    <w:lvl w:ilvl="7">
      <w:start w:val="1"/>
      <w:numFmt w:val="bullet"/>
      <w:lvlText w:val="•"/>
      <w:lvlJc w:val="left"/>
      <w:pPr>
        <w:ind w:left="5760" w:hanging="360"/>
      </w:pPr>
      <w:rPr>
        <w:rFonts w:ascii="Tahoma" w:cs="Tahoma" w:eastAsia="Tahoma" w:hAnsi="Tahoma"/>
      </w:rPr>
    </w:lvl>
    <w:lvl w:ilvl="8">
      <w:start w:val="1"/>
      <w:numFmt w:val="bullet"/>
      <w:lvlText w:val="•"/>
      <w:lvlJc w:val="left"/>
      <w:pPr>
        <w:ind w:left="6480" w:hanging="360"/>
      </w:pPr>
      <w:rPr>
        <w:rFonts w:ascii="Tahoma" w:cs="Tahoma" w:eastAsia="Tahoma" w:hAnsi="Tahoma"/>
      </w:rPr>
    </w:lvl>
  </w:abstractNum>
  <w:abstractNum w:abstractNumId="3">
    <w:lvl w:ilvl="0">
      <w:start w:val="1"/>
      <w:numFmt w:val="bullet"/>
      <w:lvlText w:val="•"/>
      <w:lvlJc w:val="left"/>
      <w:pPr>
        <w:ind w:left="720" w:hanging="360"/>
      </w:pPr>
      <w:rPr>
        <w:rFonts w:ascii="Tahoma" w:cs="Tahoma" w:eastAsia="Tahoma" w:hAnsi="Tahoma"/>
      </w:rPr>
    </w:lvl>
    <w:lvl w:ilvl="1">
      <w:start w:val="1"/>
      <w:numFmt w:val="bullet"/>
      <w:lvlText w:val="•"/>
      <w:lvlJc w:val="left"/>
      <w:pPr>
        <w:ind w:left="1440" w:hanging="360"/>
      </w:pPr>
      <w:rPr>
        <w:rFonts w:ascii="Tahoma" w:cs="Tahoma" w:eastAsia="Tahoma" w:hAnsi="Tahoma"/>
      </w:rPr>
    </w:lvl>
    <w:lvl w:ilvl="2">
      <w:start w:val="1"/>
      <w:numFmt w:val="bullet"/>
      <w:lvlText w:val="•"/>
      <w:lvlJc w:val="left"/>
      <w:pPr>
        <w:ind w:left="2160" w:hanging="360"/>
      </w:pPr>
      <w:rPr>
        <w:rFonts w:ascii="Tahoma" w:cs="Tahoma" w:eastAsia="Tahoma" w:hAnsi="Tahoma"/>
      </w:rPr>
    </w:lvl>
    <w:lvl w:ilvl="3">
      <w:start w:val="1"/>
      <w:numFmt w:val="bullet"/>
      <w:lvlText w:val="•"/>
      <w:lvlJc w:val="left"/>
      <w:pPr>
        <w:ind w:left="2880" w:hanging="360"/>
      </w:pPr>
      <w:rPr>
        <w:rFonts w:ascii="Tahoma" w:cs="Tahoma" w:eastAsia="Tahoma" w:hAnsi="Tahoma"/>
      </w:rPr>
    </w:lvl>
    <w:lvl w:ilvl="4">
      <w:start w:val="1"/>
      <w:numFmt w:val="bullet"/>
      <w:lvlText w:val="•"/>
      <w:lvlJc w:val="left"/>
      <w:pPr>
        <w:ind w:left="3600" w:hanging="360"/>
      </w:pPr>
      <w:rPr>
        <w:rFonts w:ascii="Tahoma" w:cs="Tahoma" w:eastAsia="Tahoma" w:hAnsi="Tahoma"/>
      </w:rPr>
    </w:lvl>
    <w:lvl w:ilvl="5">
      <w:start w:val="1"/>
      <w:numFmt w:val="bullet"/>
      <w:lvlText w:val="•"/>
      <w:lvlJc w:val="left"/>
      <w:pPr>
        <w:ind w:left="4320" w:hanging="360"/>
      </w:pPr>
      <w:rPr>
        <w:rFonts w:ascii="Tahoma" w:cs="Tahoma" w:eastAsia="Tahoma" w:hAnsi="Tahoma"/>
      </w:rPr>
    </w:lvl>
    <w:lvl w:ilvl="6">
      <w:start w:val="1"/>
      <w:numFmt w:val="bullet"/>
      <w:lvlText w:val="•"/>
      <w:lvlJc w:val="left"/>
      <w:pPr>
        <w:ind w:left="5040" w:hanging="360"/>
      </w:pPr>
      <w:rPr>
        <w:rFonts w:ascii="Tahoma" w:cs="Tahoma" w:eastAsia="Tahoma" w:hAnsi="Tahoma"/>
      </w:rPr>
    </w:lvl>
    <w:lvl w:ilvl="7">
      <w:start w:val="1"/>
      <w:numFmt w:val="bullet"/>
      <w:lvlText w:val="•"/>
      <w:lvlJc w:val="left"/>
      <w:pPr>
        <w:ind w:left="5760" w:hanging="360"/>
      </w:pPr>
      <w:rPr>
        <w:rFonts w:ascii="Tahoma" w:cs="Tahoma" w:eastAsia="Tahoma" w:hAnsi="Tahoma"/>
      </w:rPr>
    </w:lvl>
    <w:lvl w:ilvl="8">
      <w:start w:val="1"/>
      <w:numFmt w:val="bullet"/>
      <w:lvlText w:val="•"/>
      <w:lvlJc w:val="left"/>
      <w:pPr>
        <w:ind w:left="6480" w:hanging="360"/>
      </w:pPr>
      <w:rPr>
        <w:rFonts w:ascii="Tahoma" w:cs="Tahoma" w:eastAsia="Tahoma" w:hAnsi="Tahoma"/>
      </w:rPr>
    </w:lvl>
  </w:abstractNum>
  <w:abstractNum w:abstractNumId="4">
    <w:lvl w:ilvl="0">
      <w:start w:val="1"/>
      <w:numFmt w:val="bullet"/>
      <w:lvlText w:val="•"/>
      <w:lvlJc w:val="left"/>
      <w:pPr>
        <w:ind w:left="720" w:hanging="360"/>
      </w:pPr>
      <w:rPr>
        <w:rFonts w:ascii="Tahoma" w:cs="Tahoma" w:eastAsia="Tahoma" w:hAnsi="Tahoma"/>
      </w:rPr>
    </w:lvl>
    <w:lvl w:ilvl="1">
      <w:start w:val="1"/>
      <w:numFmt w:val="bullet"/>
      <w:lvlText w:val="•"/>
      <w:lvlJc w:val="left"/>
      <w:pPr>
        <w:ind w:left="1440" w:hanging="360"/>
      </w:pPr>
      <w:rPr>
        <w:rFonts w:ascii="Tahoma" w:cs="Tahoma" w:eastAsia="Tahoma" w:hAnsi="Tahoma"/>
      </w:rPr>
    </w:lvl>
    <w:lvl w:ilvl="2">
      <w:start w:val="1"/>
      <w:numFmt w:val="bullet"/>
      <w:lvlText w:val="•"/>
      <w:lvlJc w:val="left"/>
      <w:pPr>
        <w:ind w:left="2160" w:hanging="360"/>
      </w:pPr>
      <w:rPr>
        <w:rFonts w:ascii="Tahoma" w:cs="Tahoma" w:eastAsia="Tahoma" w:hAnsi="Tahoma"/>
      </w:rPr>
    </w:lvl>
    <w:lvl w:ilvl="3">
      <w:start w:val="1"/>
      <w:numFmt w:val="bullet"/>
      <w:lvlText w:val="•"/>
      <w:lvlJc w:val="left"/>
      <w:pPr>
        <w:ind w:left="2880" w:hanging="360"/>
      </w:pPr>
      <w:rPr>
        <w:rFonts w:ascii="Tahoma" w:cs="Tahoma" w:eastAsia="Tahoma" w:hAnsi="Tahoma"/>
      </w:rPr>
    </w:lvl>
    <w:lvl w:ilvl="4">
      <w:start w:val="1"/>
      <w:numFmt w:val="bullet"/>
      <w:lvlText w:val="•"/>
      <w:lvlJc w:val="left"/>
      <w:pPr>
        <w:ind w:left="3600" w:hanging="360"/>
      </w:pPr>
      <w:rPr>
        <w:rFonts w:ascii="Tahoma" w:cs="Tahoma" w:eastAsia="Tahoma" w:hAnsi="Tahoma"/>
      </w:rPr>
    </w:lvl>
    <w:lvl w:ilvl="5">
      <w:start w:val="1"/>
      <w:numFmt w:val="bullet"/>
      <w:lvlText w:val="•"/>
      <w:lvlJc w:val="left"/>
      <w:pPr>
        <w:ind w:left="4320" w:hanging="360"/>
      </w:pPr>
      <w:rPr>
        <w:rFonts w:ascii="Tahoma" w:cs="Tahoma" w:eastAsia="Tahoma" w:hAnsi="Tahoma"/>
      </w:rPr>
    </w:lvl>
    <w:lvl w:ilvl="6">
      <w:start w:val="1"/>
      <w:numFmt w:val="bullet"/>
      <w:lvlText w:val="•"/>
      <w:lvlJc w:val="left"/>
      <w:pPr>
        <w:ind w:left="5040" w:hanging="360"/>
      </w:pPr>
      <w:rPr>
        <w:rFonts w:ascii="Tahoma" w:cs="Tahoma" w:eastAsia="Tahoma" w:hAnsi="Tahoma"/>
      </w:rPr>
    </w:lvl>
    <w:lvl w:ilvl="7">
      <w:start w:val="1"/>
      <w:numFmt w:val="bullet"/>
      <w:lvlText w:val="•"/>
      <w:lvlJc w:val="left"/>
      <w:pPr>
        <w:ind w:left="5760" w:hanging="360"/>
      </w:pPr>
      <w:rPr>
        <w:rFonts w:ascii="Tahoma" w:cs="Tahoma" w:eastAsia="Tahoma" w:hAnsi="Tahoma"/>
      </w:rPr>
    </w:lvl>
    <w:lvl w:ilvl="8">
      <w:start w:val="1"/>
      <w:numFmt w:val="bullet"/>
      <w:lvlText w:val="•"/>
      <w:lvlJc w:val="left"/>
      <w:pPr>
        <w:ind w:left="6480" w:hanging="360"/>
      </w:pPr>
      <w:rPr>
        <w:rFonts w:ascii="Tahoma" w:cs="Tahoma" w:eastAsia="Tahoma" w:hAnsi="Tahoma"/>
      </w:rPr>
    </w:lvl>
  </w:abstractNum>
  <w:abstractNum w:abstractNumId="5">
    <w:lvl w:ilvl="0">
      <w:start w:val="1"/>
      <w:numFmt w:val="bullet"/>
      <w:lvlText w:val="•"/>
      <w:lvlJc w:val="left"/>
      <w:pPr>
        <w:ind w:left="720" w:hanging="360"/>
      </w:pPr>
      <w:rPr>
        <w:rFonts w:ascii="Tahoma" w:cs="Tahoma" w:eastAsia="Tahoma" w:hAnsi="Tahoma"/>
      </w:rPr>
    </w:lvl>
    <w:lvl w:ilvl="1">
      <w:start w:val="1"/>
      <w:numFmt w:val="bullet"/>
      <w:lvlText w:val="•"/>
      <w:lvlJc w:val="left"/>
      <w:pPr>
        <w:ind w:left="1440" w:hanging="360"/>
      </w:pPr>
      <w:rPr>
        <w:rFonts w:ascii="Tahoma" w:cs="Tahoma" w:eastAsia="Tahoma" w:hAnsi="Tahoma"/>
      </w:rPr>
    </w:lvl>
    <w:lvl w:ilvl="2">
      <w:start w:val="1"/>
      <w:numFmt w:val="bullet"/>
      <w:lvlText w:val="•"/>
      <w:lvlJc w:val="left"/>
      <w:pPr>
        <w:ind w:left="2160" w:hanging="360"/>
      </w:pPr>
      <w:rPr>
        <w:rFonts w:ascii="Tahoma" w:cs="Tahoma" w:eastAsia="Tahoma" w:hAnsi="Tahoma"/>
      </w:rPr>
    </w:lvl>
    <w:lvl w:ilvl="3">
      <w:start w:val="1"/>
      <w:numFmt w:val="bullet"/>
      <w:lvlText w:val="•"/>
      <w:lvlJc w:val="left"/>
      <w:pPr>
        <w:ind w:left="2880" w:hanging="360"/>
      </w:pPr>
      <w:rPr>
        <w:rFonts w:ascii="Tahoma" w:cs="Tahoma" w:eastAsia="Tahoma" w:hAnsi="Tahoma"/>
      </w:rPr>
    </w:lvl>
    <w:lvl w:ilvl="4">
      <w:start w:val="1"/>
      <w:numFmt w:val="bullet"/>
      <w:lvlText w:val="•"/>
      <w:lvlJc w:val="left"/>
      <w:pPr>
        <w:ind w:left="3600" w:hanging="360"/>
      </w:pPr>
      <w:rPr>
        <w:rFonts w:ascii="Tahoma" w:cs="Tahoma" w:eastAsia="Tahoma" w:hAnsi="Tahoma"/>
      </w:rPr>
    </w:lvl>
    <w:lvl w:ilvl="5">
      <w:start w:val="1"/>
      <w:numFmt w:val="bullet"/>
      <w:lvlText w:val="•"/>
      <w:lvlJc w:val="left"/>
      <w:pPr>
        <w:ind w:left="4320" w:hanging="360"/>
      </w:pPr>
      <w:rPr>
        <w:rFonts w:ascii="Tahoma" w:cs="Tahoma" w:eastAsia="Tahoma" w:hAnsi="Tahoma"/>
      </w:rPr>
    </w:lvl>
    <w:lvl w:ilvl="6">
      <w:start w:val="1"/>
      <w:numFmt w:val="bullet"/>
      <w:lvlText w:val="•"/>
      <w:lvlJc w:val="left"/>
      <w:pPr>
        <w:ind w:left="5040" w:hanging="360"/>
      </w:pPr>
      <w:rPr>
        <w:rFonts w:ascii="Tahoma" w:cs="Tahoma" w:eastAsia="Tahoma" w:hAnsi="Tahoma"/>
      </w:rPr>
    </w:lvl>
    <w:lvl w:ilvl="7">
      <w:start w:val="1"/>
      <w:numFmt w:val="bullet"/>
      <w:lvlText w:val="•"/>
      <w:lvlJc w:val="left"/>
      <w:pPr>
        <w:ind w:left="5760" w:hanging="360"/>
      </w:pPr>
      <w:rPr>
        <w:rFonts w:ascii="Tahoma" w:cs="Tahoma" w:eastAsia="Tahoma" w:hAnsi="Tahoma"/>
      </w:rPr>
    </w:lvl>
    <w:lvl w:ilvl="8">
      <w:start w:val="1"/>
      <w:numFmt w:val="bullet"/>
      <w:lvlText w:val="•"/>
      <w:lvlJc w:val="left"/>
      <w:pPr>
        <w:ind w:left="6480" w:hanging="360"/>
      </w:pPr>
      <w:rPr>
        <w:rFonts w:ascii="Tahoma" w:cs="Tahoma" w:eastAsia="Tahoma" w:hAnsi="Tahoma"/>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Tahoma" w:cs="Tahoma" w:eastAsia="Tahoma" w:hAnsi="Tahoma"/>
      </w:rPr>
    </w:lvl>
    <w:lvl w:ilvl="1">
      <w:start w:val="1"/>
      <w:numFmt w:val="bullet"/>
      <w:lvlText w:val="•"/>
      <w:lvlJc w:val="left"/>
      <w:pPr>
        <w:ind w:left="1440" w:hanging="360"/>
      </w:pPr>
      <w:rPr>
        <w:rFonts w:ascii="Tahoma" w:cs="Tahoma" w:eastAsia="Tahoma" w:hAnsi="Tahoma"/>
      </w:rPr>
    </w:lvl>
    <w:lvl w:ilvl="2">
      <w:start w:val="1"/>
      <w:numFmt w:val="bullet"/>
      <w:lvlText w:val="•"/>
      <w:lvlJc w:val="left"/>
      <w:pPr>
        <w:ind w:left="2160" w:hanging="360"/>
      </w:pPr>
      <w:rPr>
        <w:rFonts w:ascii="Tahoma" w:cs="Tahoma" w:eastAsia="Tahoma" w:hAnsi="Tahoma"/>
      </w:rPr>
    </w:lvl>
    <w:lvl w:ilvl="3">
      <w:start w:val="1"/>
      <w:numFmt w:val="bullet"/>
      <w:lvlText w:val="•"/>
      <w:lvlJc w:val="left"/>
      <w:pPr>
        <w:ind w:left="2880" w:hanging="360"/>
      </w:pPr>
      <w:rPr>
        <w:rFonts w:ascii="Tahoma" w:cs="Tahoma" w:eastAsia="Tahoma" w:hAnsi="Tahoma"/>
      </w:rPr>
    </w:lvl>
    <w:lvl w:ilvl="4">
      <w:start w:val="1"/>
      <w:numFmt w:val="bullet"/>
      <w:lvlText w:val="•"/>
      <w:lvlJc w:val="left"/>
      <w:pPr>
        <w:ind w:left="3600" w:hanging="360"/>
      </w:pPr>
      <w:rPr>
        <w:rFonts w:ascii="Tahoma" w:cs="Tahoma" w:eastAsia="Tahoma" w:hAnsi="Tahoma"/>
      </w:rPr>
    </w:lvl>
    <w:lvl w:ilvl="5">
      <w:start w:val="1"/>
      <w:numFmt w:val="bullet"/>
      <w:lvlText w:val="•"/>
      <w:lvlJc w:val="left"/>
      <w:pPr>
        <w:ind w:left="4320" w:hanging="360"/>
      </w:pPr>
      <w:rPr>
        <w:rFonts w:ascii="Tahoma" w:cs="Tahoma" w:eastAsia="Tahoma" w:hAnsi="Tahoma"/>
      </w:rPr>
    </w:lvl>
    <w:lvl w:ilvl="6">
      <w:start w:val="1"/>
      <w:numFmt w:val="bullet"/>
      <w:lvlText w:val="•"/>
      <w:lvlJc w:val="left"/>
      <w:pPr>
        <w:ind w:left="5040" w:hanging="360"/>
      </w:pPr>
      <w:rPr>
        <w:rFonts w:ascii="Tahoma" w:cs="Tahoma" w:eastAsia="Tahoma" w:hAnsi="Tahoma"/>
      </w:rPr>
    </w:lvl>
    <w:lvl w:ilvl="7">
      <w:start w:val="1"/>
      <w:numFmt w:val="bullet"/>
      <w:lvlText w:val="•"/>
      <w:lvlJc w:val="left"/>
      <w:pPr>
        <w:ind w:left="5760" w:hanging="360"/>
      </w:pPr>
      <w:rPr>
        <w:rFonts w:ascii="Tahoma" w:cs="Tahoma" w:eastAsia="Tahoma" w:hAnsi="Tahoma"/>
      </w:rPr>
    </w:lvl>
    <w:lvl w:ilvl="8">
      <w:start w:val="1"/>
      <w:numFmt w:val="bullet"/>
      <w:lvlText w:val="•"/>
      <w:lvlJc w:val="left"/>
      <w:pPr>
        <w:ind w:left="6480" w:hanging="360"/>
      </w:pPr>
      <w:rPr>
        <w:rFonts w:ascii="Tahoma" w:cs="Tahoma" w:eastAsia="Tahoma" w:hAnsi="Tahoma"/>
      </w:rPr>
    </w:lvl>
  </w:abstractNum>
  <w:abstractNum w:abstractNumId="8">
    <w:lvl w:ilvl="0">
      <w:start w:val="1"/>
      <w:numFmt w:val="bullet"/>
      <w:lvlText w:val="•"/>
      <w:lvlJc w:val="left"/>
      <w:pPr>
        <w:ind w:left="720" w:hanging="360"/>
      </w:pPr>
      <w:rPr>
        <w:rFonts w:ascii="Tahoma" w:cs="Tahoma" w:eastAsia="Tahoma" w:hAnsi="Tahoma"/>
      </w:rPr>
    </w:lvl>
    <w:lvl w:ilvl="1">
      <w:start w:val="1"/>
      <w:numFmt w:val="bullet"/>
      <w:lvlText w:val="•"/>
      <w:lvlJc w:val="left"/>
      <w:pPr>
        <w:ind w:left="1440" w:hanging="360"/>
      </w:pPr>
      <w:rPr>
        <w:rFonts w:ascii="Tahoma" w:cs="Tahoma" w:eastAsia="Tahoma" w:hAnsi="Tahoma"/>
      </w:rPr>
    </w:lvl>
    <w:lvl w:ilvl="2">
      <w:start w:val="1"/>
      <w:numFmt w:val="bullet"/>
      <w:lvlText w:val="•"/>
      <w:lvlJc w:val="left"/>
      <w:pPr>
        <w:ind w:left="2160" w:hanging="360"/>
      </w:pPr>
      <w:rPr>
        <w:rFonts w:ascii="Tahoma" w:cs="Tahoma" w:eastAsia="Tahoma" w:hAnsi="Tahoma"/>
      </w:rPr>
    </w:lvl>
    <w:lvl w:ilvl="3">
      <w:start w:val="1"/>
      <w:numFmt w:val="bullet"/>
      <w:lvlText w:val="•"/>
      <w:lvlJc w:val="left"/>
      <w:pPr>
        <w:ind w:left="2880" w:hanging="360"/>
      </w:pPr>
      <w:rPr>
        <w:rFonts w:ascii="Tahoma" w:cs="Tahoma" w:eastAsia="Tahoma" w:hAnsi="Tahoma"/>
      </w:rPr>
    </w:lvl>
    <w:lvl w:ilvl="4">
      <w:start w:val="1"/>
      <w:numFmt w:val="bullet"/>
      <w:lvlText w:val="•"/>
      <w:lvlJc w:val="left"/>
      <w:pPr>
        <w:ind w:left="3600" w:hanging="360"/>
      </w:pPr>
      <w:rPr>
        <w:rFonts w:ascii="Tahoma" w:cs="Tahoma" w:eastAsia="Tahoma" w:hAnsi="Tahoma"/>
      </w:rPr>
    </w:lvl>
    <w:lvl w:ilvl="5">
      <w:start w:val="1"/>
      <w:numFmt w:val="bullet"/>
      <w:lvlText w:val="•"/>
      <w:lvlJc w:val="left"/>
      <w:pPr>
        <w:ind w:left="4320" w:hanging="360"/>
      </w:pPr>
      <w:rPr>
        <w:rFonts w:ascii="Tahoma" w:cs="Tahoma" w:eastAsia="Tahoma" w:hAnsi="Tahoma"/>
      </w:rPr>
    </w:lvl>
    <w:lvl w:ilvl="6">
      <w:start w:val="1"/>
      <w:numFmt w:val="bullet"/>
      <w:lvlText w:val="•"/>
      <w:lvlJc w:val="left"/>
      <w:pPr>
        <w:ind w:left="5040" w:hanging="360"/>
      </w:pPr>
      <w:rPr>
        <w:rFonts w:ascii="Tahoma" w:cs="Tahoma" w:eastAsia="Tahoma" w:hAnsi="Tahoma"/>
      </w:rPr>
    </w:lvl>
    <w:lvl w:ilvl="7">
      <w:start w:val="1"/>
      <w:numFmt w:val="bullet"/>
      <w:lvlText w:val="•"/>
      <w:lvlJc w:val="left"/>
      <w:pPr>
        <w:ind w:left="5760" w:hanging="360"/>
      </w:pPr>
      <w:rPr>
        <w:rFonts w:ascii="Tahoma" w:cs="Tahoma" w:eastAsia="Tahoma" w:hAnsi="Tahoma"/>
      </w:rPr>
    </w:lvl>
    <w:lvl w:ilvl="8">
      <w:start w:val="1"/>
      <w:numFmt w:val="bullet"/>
      <w:lvlText w:val="•"/>
      <w:lvlJc w:val="left"/>
      <w:pPr>
        <w:ind w:left="6480" w:hanging="360"/>
      </w:pPr>
      <w:rPr>
        <w:rFonts w:ascii="Tahoma" w:cs="Tahoma" w:eastAsia="Tahoma" w:hAnsi="Tahoma"/>
      </w:rPr>
    </w:lvl>
  </w:abstractNum>
  <w:abstractNum w:abstractNumId="9">
    <w:lvl w:ilvl="0">
      <w:start w:val="1"/>
      <w:numFmt w:val="bullet"/>
      <w:lvlText w:val="•"/>
      <w:lvlJc w:val="left"/>
      <w:pPr>
        <w:ind w:left="720" w:hanging="360"/>
      </w:pPr>
      <w:rPr>
        <w:rFonts w:ascii="Tahoma" w:cs="Tahoma" w:eastAsia="Tahoma" w:hAnsi="Tahoma"/>
      </w:rPr>
    </w:lvl>
    <w:lvl w:ilvl="1">
      <w:start w:val="1"/>
      <w:numFmt w:val="bullet"/>
      <w:lvlText w:val="•"/>
      <w:lvlJc w:val="left"/>
      <w:pPr>
        <w:ind w:left="1440" w:hanging="360"/>
      </w:pPr>
      <w:rPr>
        <w:rFonts w:ascii="Tahoma" w:cs="Tahoma" w:eastAsia="Tahoma" w:hAnsi="Tahoma"/>
      </w:rPr>
    </w:lvl>
    <w:lvl w:ilvl="2">
      <w:start w:val="1"/>
      <w:numFmt w:val="bullet"/>
      <w:lvlText w:val="•"/>
      <w:lvlJc w:val="left"/>
      <w:pPr>
        <w:ind w:left="2160" w:hanging="360"/>
      </w:pPr>
      <w:rPr>
        <w:rFonts w:ascii="Tahoma" w:cs="Tahoma" w:eastAsia="Tahoma" w:hAnsi="Tahoma"/>
      </w:rPr>
    </w:lvl>
    <w:lvl w:ilvl="3">
      <w:start w:val="1"/>
      <w:numFmt w:val="bullet"/>
      <w:lvlText w:val="•"/>
      <w:lvlJc w:val="left"/>
      <w:pPr>
        <w:ind w:left="2880" w:hanging="360"/>
      </w:pPr>
      <w:rPr>
        <w:rFonts w:ascii="Tahoma" w:cs="Tahoma" w:eastAsia="Tahoma" w:hAnsi="Tahoma"/>
      </w:rPr>
    </w:lvl>
    <w:lvl w:ilvl="4">
      <w:start w:val="1"/>
      <w:numFmt w:val="bullet"/>
      <w:lvlText w:val="•"/>
      <w:lvlJc w:val="left"/>
      <w:pPr>
        <w:ind w:left="3600" w:hanging="360"/>
      </w:pPr>
      <w:rPr>
        <w:rFonts w:ascii="Tahoma" w:cs="Tahoma" w:eastAsia="Tahoma" w:hAnsi="Tahoma"/>
      </w:rPr>
    </w:lvl>
    <w:lvl w:ilvl="5">
      <w:start w:val="1"/>
      <w:numFmt w:val="bullet"/>
      <w:lvlText w:val="•"/>
      <w:lvlJc w:val="left"/>
      <w:pPr>
        <w:ind w:left="4320" w:hanging="360"/>
      </w:pPr>
      <w:rPr>
        <w:rFonts w:ascii="Tahoma" w:cs="Tahoma" w:eastAsia="Tahoma" w:hAnsi="Tahoma"/>
      </w:rPr>
    </w:lvl>
    <w:lvl w:ilvl="6">
      <w:start w:val="1"/>
      <w:numFmt w:val="bullet"/>
      <w:lvlText w:val="•"/>
      <w:lvlJc w:val="left"/>
      <w:pPr>
        <w:ind w:left="5040" w:hanging="360"/>
      </w:pPr>
      <w:rPr>
        <w:rFonts w:ascii="Tahoma" w:cs="Tahoma" w:eastAsia="Tahoma" w:hAnsi="Tahoma"/>
      </w:rPr>
    </w:lvl>
    <w:lvl w:ilvl="7">
      <w:start w:val="1"/>
      <w:numFmt w:val="bullet"/>
      <w:lvlText w:val="•"/>
      <w:lvlJc w:val="left"/>
      <w:pPr>
        <w:ind w:left="5760" w:hanging="360"/>
      </w:pPr>
      <w:rPr>
        <w:rFonts w:ascii="Tahoma" w:cs="Tahoma" w:eastAsia="Tahoma" w:hAnsi="Tahoma"/>
      </w:rPr>
    </w:lvl>
    <w:lvl w:ilvl="8">
      <w:start w:val="1"/>
      <w:numFmt w:val="bullet"/>
      <w:lvlText w:val="•"/>
      <w:lvlJc w:val="left"/>
      <w:pPr>
        <w:ind w:left="6480" w:hanging="360"/>
      </w:pPr>
      <w:rPr>
        <w:rFonts w:ascii="Tahoma" w:cs="Tahoma" w:eastAsia="Tahoma" w:hAnsi="Tahoma"/>
      </w:rPr>
    </w:lvl>
  </w:abstractNum>
  <w:abstractNum w:abstractNumId="10">
    <w:lvl w:ilvl="0">
      <w:start w:val="1"/>
      <w:numFmt w:val="bullet"/>
      <w:lvlText w:val="•"/>
      <w:lvlJc w:val="left"/>
      <w:pPr>
        <w:ind w:left="720" w:hanging="360"/>
      </w:pPr>
      <w:rPr>
        <w:rFonts w:ascii="Tahoma" w:cs="Tahoma" w:eastAsia="Tahoma" w:hAnsi="Tahoma"/>
      </w:rPr>
    </w:lvl>
    <w:lvl w:ilvl="1">
      <w:start w:val="1"/>
      <w:numFmt w:val="bullet"/>
      <w:lvlText w:val="•"/>
      <w:lvlJc w:val="left"/>
      <w:pPr>
        <w:ind w:left="1440" w:hanging="360"/>
      </w:pPr>
      <w:rPr>
        <w:rFonts w:ascii="Tahoma" w:cs="Tahoma" w:eastAsia="Tahoma" w:hAnsi="Tahoma"/>
      </w:rPr>
    </w:lvl>
    <w:lvl w:ilvl="2">
      <w:start w:val="1"/>
      <w:numFmt w:val="bullet"/>
      <w:lvlText w:val="•"/>
      <w:lvlJc w:val="left"/>
      <w:pPr>
        <w:ind w:left="2160" w:hanging="360"/>
      </w:pPr>
      <w:rPr>
        <w:rFonts w:ascii="Tahoma" w:cs="Tahoma" w:eastAsia="Tahoma" w:hAnsi="Tahoma"/>
      </w:rPr>
    </w:lvl>
    <w:lvl w:ilvl="3">
      <w:start w:val="1"/>
      <w:numFmt w:val="bullet"/>
      <w:lvlText w:val="•"/>
      <w:lvlJc w:val="left"/>
      <w:pPr>
        <w:ind w:left="2880" w:hanging="360"/>
      </w:pPr>
      <w:rPr>
        <w:rFonts w:ascii="Tahoma" w:cs="Tahoma" w:eastAsia="Tahoma" w:hAnsi="Tahoma"/>
      </w:rPr>
    </w:lvl>
    <w:lvl w:ilvl="4">
      <w:start w:val="1"/>
      <w:numFmt w:val="bullet"/>
      <w:lvlText w:val="•"/>
      <w:lvlJc w:val="left"/>
      <w:pPr>
        <w:ind w:left="3600" w:hanging="360"/>
      </w:pPr>
      <w:rPr>
        <w:rFonts w:ascii="Tahoma" w:cs="Tahoma" w:eastAsia="Tahoma" w:hAnsi="Tahoma"/>
      </w:rPr>
    </w:lvl>
    <w:lvl w:ilvl="5">
      <w:start w:val="1"/>
      <w:numFmt w:val="bullet"/>
      <w:lvlText w:val="•"/>
      <w:lvlJc w:val="left"/>
      <w:pPr>
        <w:ind w:left="4320" w:hanging="360"/>
      </w:pPr>
      <w:rPr>
        <w:rFonts w:ascii="Tahoma" w:cs="Tahoma" w:eastAsia="Tahoma" w:hAnsi="Tahoma"/>
      </w:rPr>
    </w:lvl>
    <w:lvl w:ilvl="6">
      <w:start w:val="1"/>
      <w:numFmt w:val="bullet"/>
      <w:lvlText w:val="•"/>
      <w:lvlJc w:val="left"/>
      <w:pPr>
        <w:ind w:left="5040" w:hanging="360"/>
      </w:pPr>
      <w:rPr>
        <w:rFonts w:ascii="Tahoma" w:cs="Tahoma" w:eastAsia="Tahoma" w:hAnsi="Tahoma"/>
      </w:rPr>
    </w:lvl>
    <w:lvl w:ilvl="7">
      <w:start w:val="1"/>
      <w:numFmt w:val="bullet"/>
      <w:lvlText w:val="•"/>
      <w:lvlJc w:val="left"/>
      <w:pPr>
        <w:ind w:left="5760" w:hanging="360"/>
      </w:pPr>
      <w:rPr>
        <w:rFonts w:ascii="Tahoma" w:cs="Tahoma" w:eastAsia="Tahoma" w:hAnsi="Tahoma"/>
      </w:rPr>
    </w:lvl>
    <w:lvl w:ilvl="8">
      <w:start w:val="1"/>
      <w:numFmt w:val="bullet"/>
      <w:lvlText w:val="•"/>
      <w:lvlJc w:val="left"/>
      <w:pPr>
        <w:ind w:left="6480" w:hanging="360"/>
      </w:pPr>
      <w:rPr>
        <w:rFonts w:ascii="Tahoma" w:cs="Tahoma" w:eastAsia="Tahoma" w:hAnsi="Tahoma"/>
      </w:rPr>
    </w:lvl>
  </w:abstractNum>
  <w:abstractNum w:abstractNumId="11">
    <w:lvl w:ilvl="0">
      <w:start w:val="1"/>
      <w:numFmt w:val="bullet"/>
      <w:lvlText w:val="•"/>
      <w:lvlJc w:val="left"/>
      <w:pPr>
        <w:ind w:left="720" w:hanging="360"/>
      </w:pPr>
      <w:rPr>
        <w:rFonts w:ascii="Tahoma" w:cs="Tahoma" w:eastAsia="Tahoma" w:hAnsi="Tahoma"/>
      </w:rPr>
    </w:lvl>
    <w:lvl w:ilvl="1">
      <w:start w:val="1"/>
      <w:numFmt w:val="bullet"/>
      <w:lvlText w:val="•"/>
      <w:lvlJc w:val="left"/>
      <w:pPr>
        <w:ind w:left="1440" w:hanging="360"/>
      </w:pPr>
      <w:rPr>
        <w:rFonts w:ascii="Tahoma" w:cs="Tahoma" w:eastAsia="Tahoma" w:hAnsi="Tahoma"/>
      </w:rPr>
    </w:lvl>
    <w:lvl w:ilvl="2">
      <w:start w:val="1"/>
      <w:numFmt w:val="bullet"/>
      <w:lvlText w:val="•"/>
      <w:lvlJc w:val="left"/>
      <w:pPr>
        <w:ind w:left="2160" w:hanging="360"/>
      </w:pPr>
      <w:rPr>
        <w:rFonts w:ascii="Tahoma" w:cs="Tahoma" w:eastAsia="Tahoma" w:hAnsi="Tahoma"/>
      </w:rPr>
    </w:lvl>
    <w:lvl w:ilvl="3">
      <w:start w:val="1"/>
      <w:numFmt w:val="bullet"/>
      <w:lvlText w:val="•"/>
      <w:lvlJc w:val="left"/>
      <w:pPr>
        <w:ind w:left="2880" w:hanging="360"/>
      </w:pPr>
      <w:rPr>
        <w:rFonts w:ascii="Tahoma" w:cs="Tahoma" w:eastAsia="Tahoma" w:hAnsi="Tahoma"/>
      </w:rPr>
    </w:lvl>
    <w:lvl w:ilvl="4">
      <w:start w:val="1"/>
      <w:numFmt w:val="bullet"/>
      <w:lvlText w:val="•"/>
      <w:lvlJc w:val="left"/>
      <w:pPr>
        <w:ind w:left="3600" w:hanging="360"/>
      </w:pPr>
      <w:rPr>
        <w:rFonts w:ascii="Tahoma" w:cs="Tahoma" w:eastAsia="Tahoma" w:hAnsi="Tahoma"/>
      </w:rPr>
    </w:lvl>
    <w:lvl w:ilvl="5">
      <w:start w:val="1"/>
      <w:numFmt w:val="bullet"/>
      <w:lvlText w:val="•"/>
      <w:lvlJc w:val="left"/>
      <w:pPr>
        <w:ind w:left="4320" w:hanging="360"/>
      </w:pPr>
      <w:rPr>
        <w:rFonts w:ascii="Tahoma" w:cs="Tahoma" w:eastAsia="Tahoma" w:hAnsi="Tahoma"/>
      </w:rPr>
    </w:lvl>
    <w:lvl w:ilvl="6">
      <w:start w:val="1"/>
      <w:numFmt w:val="bullet"/>
      <w:lvlText w:val="•"/>
      <w:lvlJc w:val="left"/>
      <w:pPr>
        <w:ind w:left="5040" w:hanging="360"/>
      </w:pPr>
      <w:rPr>
        <w:rFonts w:ascii="Tahoma" w:cs="Tahoma" w:eastAsia="Tahoma" w:hAnsi="Tahoma"/>
      </w:rPr>
    </w:lvl>
    <w:lvl w:ilvl="7">
      <w:start w:val="1"/>
      <w:numFmt w:val="bullet"/>
      <w:lvlText w:val="•"/>
      <w:lvlJc w:val="left"/>
      <w:pPr>
        <w:ind w:left="5760" w:hanging="360"/>
      </w:pPr>
      <w:rPr>
        <w:rFonts w:ascii="Tahoma" w:cs="Tahoma" w:eastAsia="Tahoma" w:hAnsi="Tahoma"/>
      </w:rPr>
    </w:lvl>
    <w:lvl w:ilvl="8">
      <w:start w:val="1"/>
      <w:numFmt w:val="bullet"/>
      <w:lvlText w:val="•"/>
      <w:lvlJc w:val="left"/>
      <w:pPr>
        <w:ind w:left="6480" w:hanging="360"/>
      </w:pPr>
      <w:rPr>
        <w:rFonts w:ascii="Tahoma" w:cs="Tahoma" w:eastAsia="Tahoma" w:hAnsi="Tahoma"/>
      </w:rPr>
    </w:lvl>
  </w:abstractNum>
  <w:abstractNum w:abstractNumId="12">
    <w:lvl w:ilvl="0">
      <w:start w:val="1"/>
      <w:numFmt w:val="bullet"/>
      <w:lvlText w:val="•"/>
      <w:lvlJc w:val="left"/>
      <w:pPr>
        <w:ind w:left="720" w:hanging="360"/>
      </w:pPr>
      <w:rPr>
        <w:rFonts w:ascii="Tahoma" w:cs="Tahoma" w:eastAsia="Tahoma" w:hAnsi="Tahoma"/>
      </w:rPr>
    </w:lvl>
    <w:lvl w:ilvl="1">
      <w:start w:val="1"/>
      <w:numFmt w:val="bullet"/>
      <w:lvlText w:val="•"/>
      <w:lvlJc w:val="left"/>
      <w:pPr>
        <w:ind w:left="1440" w:hanging="360"/>
      </w:pPr>
      <w:rPr>
        <w:rFonts w:ascii="Tahoma" w:cs="Tahoma" w:eastAsia="Tahoma" w:hAnsi="Tahoma"/>
      </w:rPr>
    </w:lvl>
    <w:lvl w:ilvl="2">
      <w:start w:val="1"/>
      <w:numFmt w:val="bullet"/>
      <w:lvlText w:val="•"/>
      <w:lvlJc w:val="left"/>
      <w:pPr>
        <w:ind w:left="2160" w:hanging="360"/>
      </w:pPr>
      <w:rPr>
        <w:rFonts w:ascii="Tahoma" w:cs="Tahoma" w:eastAsia="Tahoma" w:hAnsi="Tahoma"/>
      </w:rPr>
    </w:lvl>
    <w:lvl w:ilvl="3">
      <w:start w:val="1"/>
      <w:numFmt w:val="bullet"/>
      <w:lvlText w:val="•"/>
      <w:lvlJc w:val="left"/>
      <w:pPr>
        <w:ind w:left="2880" w:hanging="360"/>
      </w:pPr>
      <w:rPr>
        <w:rFonts w:ascii="Tahoma" w:cs="Tahoma" w:eastAsia="Tahoma" w:hAnsi="Tahoma"/>
      </w:rPr>
    </w:lvl>
    <w:lvl w:ilvl="4">
      <w:start w:val="1"/>
      <w:numFmt w:val="bullet"/>
      <w:lvlText w:val="•"/>
      <w:lvlJc w:val="left"/>
      <w:pPr>
        <w:ind w:left="3600" w:hanging="360"/>
      </w:pPr>
      <w:rPr>
        <w:rFonts w:ascii="Tahoma" w:cs="Tahoma" w:eastAsia="Tahoma" w:hAnsi="Tahoma"/>
      </w:rPr>
    </w:lvl>
    <w:lvl w:ilvl="5">
      <w:start w:val="1"/>
      <w:numFmt w:val="bullet"/>
      <w:lvlText w:val="•"/>
      <w:lvlJc w:val="left"/>
      <w:pPr>
        <w:ind w:left="4320" w:hanging="360"/>
      </w:pPr>
      <w:rPr>
        <w:rFonts w:ascii="Tahoma" w:cs="Tahoma" w:eastAsia="Tahoma" w:hAnsi="Tahoma"/>
      </w:rPr>
    </w:lvl>
    <w:lvl w:ilvl="6">
      <w:start w:val="1"/>
      <w:numFmt w:val="bullet"/>
      <w:lvlText w:val="•"/>
      <w:lvlJc w:val="left"/>
      <w:pPr>
        <w:ind w:left="5040" w:hanging="360"/>
      </w:pPr>
      <w:rPr>
        <w:rFonts w:ascii="Tahoma" w:cs="Tahoma" w:eastAsia="Tahoma" w:hAnsi="Tahoma"/>
      </w:rPr>
    </w:lvl>
    <w:lvl w:ilvl="7">
      <w:start w:val="1"/>
      <w:numFmt w:val="bullet"/>
      <w:lvlText w:val="•"/>
      <w:lvlJc w:val="left"/>
      <w:pPr>
        <w:ind w:left="5760" w:hanging="360"/>
      </w:pPr>
      <w:rPr>
        <w:rFonts w:ascii="Tahoma" w:cs="Tahoma" w:eastAsia="Tahoma" w:hAnsi="Tahoma"/>
      </w:rPr>
    </w:lvl>
    <w:lvl w:ilvl="8">
      <w:start w:val="1"/>
      <w:numFmt w:val="bullet"/>
      <w:lvlText w:val="•"/>
      <w:lvlJc w:val="left"/>
      <w:pPr>
        <w:ind w:left="6480" w:hanging="360"/>
      </w:pPr>
      <w:rPr>
        <w:rFonts w:ascii="Tahoma" w:cs="Tahoma" w:eastAsia="Tahoma" w:hAnsi="Tahoma"/>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30B2E"/>
    <w:rPr>
      <w:lang w:eastAsia="es-ES"/>
    </w:rPr>
  </w:style>
  <w:style w:type="paragraph" w:styleId="Ttulo1">
    <w:name w:val="heading 1"/>
    <w:basedOn w:val="Normal"/>
    <w:next w:val="Normal"/>
    <w:link w:val="Ttulo1Car"/>
    <w:uiPriority w:val="9"/>
    <w:qFormat w:val="1"/>
    <w:rsid w:val="00544427"/>
    <w:pPr>
      <w:keepNext w:val="1"/>
      <w:keepLines w:val="1"/>
      <w:spacing w:before="240"/>
      <w:outlineLvl w:val="0"/>
    </w:pPr>
    <w:rPr>
      <w:rFonts w:asciiTheme="majorHAnsi" w:cstheme="majorBidi" w:eastAsiaTheme="majorEastAsia" w:hAnsiTheme="majorHAnsi"/>
      <w:color w:val="2e74b5" w:themeColor="accent1" w:themeShade="0000BF"/>
      <w:sz w:val="32"/>
      <w:szCs w:val="32"/>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link w:val="Ttulo3Car"/>
    <w:uiPriority w:val="9"/>
    <w:semiHidden w:val="1"/>
    <w:unhideWhenUsed w:val="1"/>
    <w:qFormat w:val="1"/>
    <w:rsid w:val="00544427"/>
    <w:pPr>
      <w:keepNext w:val="1"/>
      <w:spacing w:after="60" w:before="240"/>
      <w:outlineLvl w:val="2"/>
    </w:pPr>
    <w:rPr>
      <w:rFonts w:ascii="Arial" w:cs="Arial" w:hAnsi="Arial"/>
      <w:b w:val="1"/>
      <w:bCs w:val="1"/>
      <w:sz w:val="26"/>
      <w:szCs w:val="26"/>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paragraph" w:styleId="Encabezado">
    <w:name w:val="header"/>
    <w:basedOn w:val="Normal"/>
    <w:link w:val="EncabezadoCar"/>
    <w:uiPriority w:val="99"/>
    <w:rsid w:val="00830B2E"/>
    <w:pPr>
      <w:tabs>
        <w:tab w:val="center" w:pos="4252"/>
        <w:tab w:val="right" w:pos="8504"/>
      </w:tabs>
      <w:jc w:val="both"/>
    </w:pPr>
    <w:rPr>
      <w:rFonts w:ascii="Arial" w:hAnsi="Arial"/>
      <w:sz w:val="22"/>
      <w:lang w:val="es-ES_tradnl"/>
    </w:rPr>
  </w:style>
  <w:style w:type="paragraph" w:styleId="texto" w:customStyle="1">
    <w:name w:val="texto"/>
    <w:basedOn w:val="Normal"/>
    <w:rsid w:val="00830B2E"/>
    <w:pPr>
      <w:spacing w:after="120"/>
      <w:ind w:left="851"/>
      <w:jc w:val="both"/>
    </w:pPr>
    <w:rPr>
      <w:rFonts w:ascii="Arial" w:hAnsi="Arial"/>
      <w:sz w:val="22"/>
      <w:lang w:val="es-ES_tradnl"/>
    </w:rPr>
  </w:style>
  <w:style w:type="paragraph" w:styleId="Piedepgina">
    <w:name w:val="footer"/>
    <w:basedOn w:val="Normal"/>
    <w:rsid w:val="00B8451B"/>
    <w:pPr>
      <w:tabs>
        <w:tab w:val="center" w:pos="4252"/>
        <w:tab w:val="right" w:pos="8504"/>
      </w:tabs>
    </w:pPr>
  </w:style>
  <w:style w:type="character" w:styleId="Nmerodepgina">
    <w:name w:val="page number"/>
    <w:basedOn w:val="Fuentedeprrafopredeter"/>
    <w:rsid w:val="00A66E3F"/>
  </w:style>
  <w:style w:type="table" w:styleId="Tablaconcuadrcula">
    <w:name w:val="Table Grid"/>
    <w:basedOn w:val="Tablanormal"/>
    <w:uiPriority w:val="39"/>
    <w:rsid w:val="007A719E"/>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EncabezadoCar" w:customStyle="1">
    <w:name w:val="Encabezado Car"/>
    <w:link w:val="Encabezado"/>
    <w:uiPriority w:val="99"/>
    <w:locked w:val="1"/>
    <w:rsid w:val="004B4E44"/>
    <w:rPr>
      <w:rFonts w:ascii="Arial" w:hAnsi="Arial"/>
      <w:sz w:val="22"/>
      <w:lang w:bidi="ar-SA" w:eastAsia="es-ES" w:val="es-ES_tradnl"/>
    </w:rPr>
  </w:style>
  <w:style w:type="character" w:styleId="Ttulo3Car" w:customStyle="1">
    <w:name w:val="Título 3 Car"/>
    <w:basedOn w:val="Fuentedeprrafopredeter"/>
    <w:link w:val="Ttulo3"/>
    <w:rsid w:val="00544427"/>
    <w:rPr>
      <w:rFonts w:ascii="Arial" w:cs="Arial" w:hAnsi="Arial"/>
      <w:b w:val="1"/>
      <w:bCs w:val="1"/>
      <w:sz w:val="26"/>
      <w:szCs w:val="26"/>
      <w:lang w:eastAsia="es-ES" w:val="es-ES"/>
    </w:rPr>
  </w:style>
  <w:style w:type="paragraph" w:styleId="Textoindependiente2">
    <w:name w:val="Body Text 2"/>
    <w:basedOn w:val="Normal"/>
    <w:link w:val="Textoindependiente2Car"/>
    <w:rsid w:val="00544427"/>
    <w:pPr>
      <w:jc w:val="both"/>
    </w:pPr>
    <w:rPr>
      <w:sz w:val="24"/>
      <w:lang w:eastAsia="es-CO" w:val="es-MX"/>
    </w:rPr>
  </w:style>
  <w:style w:type="character" w:styleId="Textoindependiente2Car" w:customStyle="1">
    <w:name w:val="Texto independiente 2 Car"/>
    <w:basedOn w:val="Fuentedeprrafopredeter"/>
    <w:link w:val="Textoindependiente2"/>
    <w:rsid w:val="00544427"/>
    <w:rPr>
      <w:sz w:val="24"/>
      <w:lang w:val="es-MX"/>
    </w:rPr>
  </w:style>
  <w:style w:type="paragraph" w:styleId="Prrafodelista">
    <w:name w:val="List Paragraph"/>
    <w:basedOn w:val="Normal"/>
    <w:uiPriority w:val="34"/>
    <w:qFormat w:val="1"/>
    <w:rsid w:val="00544427"/>
    <w:pPr>
      <w:ind w:left="720"/>
      <w:contextualSpacing w:val="1"/>
    </w:pPr>
  </w:style>
  <w:style w:type="character" w:styleId="Ttulo1Car" w:customStyle="1">
    <w:name w:val="Título 1 Car"/>
    <w:basedOn w:val="Fuentedeprrafopredeter"/>
    <w:link w:val="Ttulo1"/>
    <w:rsid w:val="00544427"/>
    <w:rPr>
      <w:rFonts w:asciiTheme="majorHAnsi" w:cstheme="majorBidi" w:eastAsiaTheme="majorEastAsia" w:hAnsiTheme="majorHAnsi"/>
      <w:color w:val="2e74b5" w:themeColor="accent1" w:themeShade="0000BF"/>
      <w:sz w:val="32"/>
      <w:szCs w:val="32"/>
      <w:lang w:eastAsia="es-ES" w:val="es-ES"/>
    </w:rPr>
  </w:style>
  <w:style w:type="paragraph" w:styleId="Sangradetextonormal">
    <w:name w:val="Body Text Indent"/>
    <w:basedOn w:val="Normal"/>
    <w:link w:val="SangradetextonormalCar"/>
    <w:rsid w:val="00544427"/>
    <w:pPr>
      <w:spacing w:after="120"/>
      <w:ind w:left="283"/>
    </w:pPr>
  </w:style>
  <w:style w:type="character" w:styleId="SangradetextonormalCar" w:customStyle="1">
    <w:name w:val="Sangría de texto normal Car"/>
    <w:basedOn w:val="Fuentedeprrafopredeter"/>
    <w:link w:val="Sangradetextonormal"/>
    <w:rsid w:val="00544427"/>
    <w:rPr>
      <w:lang w:eastAsia="es-ES" w:val="es-ES"/>
    </w:rPr>
  </w:style>
  <w:style w:type="paragraph" w:styleId="Descripcin">
    <w:name w:val="caption"/>
    <w:basedOn w:val="Normal"/>
    <w:next w:val="Normal"/>
    <w:qFormat w:val="1"/>
    <w:rsid w:val="00544427"/>
    <w:pPr>
      <w:jc w:val="center"/>
    </w:pPr>
    <w:rPr>
      <w:rFonts w:ascii="Arial" w:cs="Arial" w:hAnsi="Arial"/>
      <w:b w:val="1"/>
      <w:bCs w:val="1"/>
      <w:i w:val="1"/>
      <w:iCs w:val="1"/>
      <w:sz w:val="16"/>
      <w:szCs w:val="24"/>
      <w:lang w:val="es-MX"/>
    </w:rPr>
  </w:style>
  <w:style w:type="paragraph" w:styleId="Textodeglobo">
    <w:name w:val="Balloon Text"/>
    <w:basedOn w:val="Normal"/>
    <w:link w:val="TextodegloboCar"/>
    <w:rsid w:val="0040773C"/>
    <w:rPr>
      <w:rFonts w:ascii="Tahoma" w:cs="Tahoma" w:hAnsi="Tahoma"/>
      <w:sz w:val="16"/>
      <w:szCs w:val="16"/>
    </w:rPr>
  </w:style>
  <w:style w:type="character" w:styleId="TextodegloboCar" w:customStyle="1">
    <w:name w:val="Texto de globo Car"/>
    <w:basedOn w:val="Fuentedeprrafopredeter"/>
    <w:link w:val="Textodeglobo"/>
    <w:rsid w:val="0040773C"/>
    <w:rPr>
      <w:rFonts w:ascii="Tahoma" w:cs="Tahoma" w:hAnsi="Tahoma"/>
      <w:sz w:val="16"/>
      <w:szCs w:val="16"/>
      <w:lang w:eastAsia="es-ES" w:val="es-ES"/>
    </w:rPr>
  </w:style>
  <w:style w:type="table" w:styleId="TableNormal0" w:customStyle="1">
    <w:name w:val="Table Normal"/>
    <w:uiPriority w:val="2"/>
    <w:semiHidden w:val="1"/>
    <w:unhideWhenUsed w:val="1"/>
    <w:qFormat w:val="1"/>
    <w:rsid w:val="00BA645E"/>
    <w:pPr>
      <w:widowControl w:val="0"/>
      <w:autoSpaceDE w:val="0"/>
      <w:autoSpaceDN w:val="0"/>
    </w:pPr>
    <w:rPr>
      <w:rFonts w:asciiTheme="minorHAnsi" w:cstheme="minorBidi" w:eastAsiaTheme="minorHAnsi" w:hAnsiTheme="minorHAnsi"/>
      <w:sz w:val="22"/>
      <w:szCs w:val="22"/>
      <w:lang w:eastAsia="en-US" w:val="en-US"/>
    </w:rPr>
    <w:tblPr>
      <w:tblInd w:w="0.0" w:type="dxa"/>
      <w:tblCellMar>
        <w:top w:w="0.0" w:type="dxa"/>
        <w:left w:w="0.0" w:type="dxa"/>
        <w:bottom w:w="0.0" w:type="dxa"/>
        <w:right w:w="0.0" w:type="dxa"/>
      </w:tblCellMar>
    </w:tblPr>
  </w:style>
  <w:style w:type="paragraph" w:styleId="TableParagraph" w:customStyle="1">
    <w:name w:val="Table Paragraph"/>
    <w:basedOn w:val="Normal"/>
    <w:uiPriority w:val="1"/>
    <w:qFormat w:val="1"/>
    <w:rsid w:val="00BA645E"/>
    <w:pPr>
      <w:widowControl w:val="0"/>
      <w:autoSpaceDE w:val="0"/>
      <w:autoSpaceDN w:val="0"/>
    </w:pPr>
    <w:rPr>
      <w:rFonts w:ascii="Arial" w:cs="Arial" w:eastAsia="Arial" w:hAnsi="Arial"/>
      <w:sz w:val="22"/>
      <w:szCs w:val="22"/>
      <w:lang w:bidi="es-ES"/>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left w:w="70.0" w:type="dxa"/>
        <w:right w:w="70.0" w:type="dxa"/>
      </w:tblCellMar>
    </w:tblPr>
  </w:style>
  <w:style w:type="table" w:styleId="a0" w:customStyle="1">
    <w:basedOn w:val="TableNormal0"/>
    <w:tblPr>
      <w:tblStyleRowBandSize w:val="1"/>
      <w:tblStyleColBandSize w:val="1"/>
      <w:tblCellMar>
        <w:left w:w="70.0" w:type="dxa"/>
        <w:right w:w="70.0" w:type="dxa"/>
      </w:tblCellMar>
    </w:tblPr>
  </w:style>
  <w:style w:type="paragraph" w:styleId="NormalWeb">
    <w:name w:val="Normal (Web)"/>
    <w:basedOn w:val="Normal"/>
    <w:uiPriority w:val="99"/>
    <w:semiHidden w:val="1"/>
    <w:unhideWhenUsed w:val="1"/>
    <w:rsid w:val="006834F9"/>
    <w:pPr>
      <w:spacing w:after="100" w:afterAutospacing="1" w:before="100" w:beforeAutospacing="1"/>
    </w:pPr>
    <w:rPr>
      <w:sz w:val="24"/>
      <w:szCs w:val="24"/>
      <w:lang w:eastAsia="es-MX" w:val="es-CO"/>
    </w:rPr>
  </w:style>
  <w:style w:type="character" w:styleId="baj" w:customStyle="1">
    <w:name w:val="b_aj"/>
    <w:basedOn w:val="Fuentedeprrafopredeter"/>
    <w:rsid w:val="006834F9"/>
  </w:style>
  <w:style w:type="character" w:styleId="Hipervnculo">
    <w:name w:val="Hyperlink"/>
    <w:basedOn w:val="Fuentedeprrafopredeter"/>
    <w:uiPriority w:val="99"/>
    <w:semiHidden w:val="1"/>
    <w:unhideWhenUsed w:val="1"/>
    <w:rsid w:val="006834F9"/>
    <w:rPr>
      <w:color w:val="0000ff"/>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pPr>
      <w:widowControl w:val="0"/>
    </w:pPr>
    <w:rPr>
      <w:rFonts w:ascii="Calibri" w:cs="Calibri" w:eastAsia="Calibri" w:hAnsi="Calibri"/>
      <w:sz w:val="22"/>
      <w:szCs w:val="22"/>
    </w:rPr>
    <w:tblPr>
      <w:tblStyleRowBandSize w:val="1"/>
      <w:tblStyleColBandSize w:val="1"/>
      <w:tblCellMar>
        <w:top w:w="0.0" w:type="dxa"/>
        <w:left w:w="70.0" w:type="dxa"/>
        <w:bottom w:w="0.0" w:type="dxa"/>
        <w:right w:w="70.0" w:type="dxa"/>
      </w:tblCellMar>
    </w:tblPr>
  </w:style>
  <w:style w:type="table" w:styleId="Table3">
    <w:basedOn w:val="TableNormal"/>
    <w:pPr>
      <w:widowControl w:val="0"/>
    </w:pPr>
    <w:rPr>
      <w:rFonts w:ascii="Calibri" w:cs="Calibri" w:eastAsia="Calibri" w:hAnsi="Calibri"/>
      <w:sz w:val="22"/>
      <w:szCs w:val="22"/>
    </w:rPr>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10.png"/><Relationship Id="rId10" Type="http://schemas.openxmlformats.org/officeDocument/2006/relationships/hyperlink" Target="https://www.cancilleria.gov.co/sites/default/files/Normograma/docs/decreto_1072_2015.htm#INICIO" TargetMode="External"/><Relationship Id="rId13" Type="http://schemas.openxmlformats.org/officeDocument/2006/relationships/image" Target="media/image9.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ancilleria.gov.co/sites/default/files/Normograma/docs/decreto_1072_2015.htm#2.2.4.6.30" TargetMode="External"/><Relationship Id="rId15" Type="http://schemas.openxmlformats.org/officeDocument/2006/relationships/image" Target="media/image4.png"/><Relationship Id="rId14" Type="http://schemas.openxmlformats.org/officeDocument/2006/relationships/image" Target="media/image7.png"/><Relationship Id="rId17" Type="http://schemas.openxmlformats.org/officeDocument/2006/relationships/image" Target="media/image2.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image" Target="media/image1.png"/><Relationship Id="rId6" Type="http://schemas.openxmlformats.org/officeDocument/2006/relationships/customXml" Target="../customXML/item1.xml"/><Relationship Id="rId18" Type="http://schemas.openxmlformats.org/officeDocument/2006/relationships/image" Target="media/image5.png"/><Relationship Id="rId7" Type="http://schemas.openxmlformats.org/officeDocument/2006/relationships/hyperlink" Target="https://www.cancilleria.gov.co/sites/default/files/Normograma/docs/decreto_1072_2015.htm#INICIO" TargetMode="External"/><Relationship Id="rId8" Type="http://schemas.openxmlformats.org/officeDocument/2006/relationships/hyperlink" Target="https://www.cancilleria.gov.co/sites/default/files/Normograma/docs/decreto_1072_2015.htm#2.2.4.6.29"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yg5+M7Zgi0qoxTn4kTprI/Ging==">CgMxLjA4AHIhMXhZMEdQMWYtZGdxN1Z0YlhUc2xIRGtmTFB4bnRoRl9C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2023-06-29T19:43:00Z</dcterms:created>
  <dc:creator>visitante</dc:creator>
</cp:coreProperties>
</file>