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DB53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72B9E5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526F9D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90C9C1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98C45B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B1CFB3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79A439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Control de cambios </w:t>
      </w:r>
    </w:p>
    <w:p w14:paraId="159E0045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7D02AC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 w:rsidR="003553C1" w14:paraId="1D655AAA" w14:textId="77777777">
        <w:trPr>
          <w:trHeight w:val="212"/>
          <w:jc w:val="center"/>
        </w:trPr>
        <w:tc>
          <w:tcPr>
            <w:tcW w:w="2123" w:type="dxa"/>
            <w:vAlign w:val="center"/>
          </w:tcPr>
          <w:p w14:paraId="7BDC75BE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Versión</w:t>
            </w:r>
          </w:p>
        </w:tc>
        <w:tc>
          <w:tcPr>
            <w:tcW w:w="2123" w:type="dxa"/>
            <w:vAlign w:val="center"/>
          </w:tcPr>
          <w:p w14:paraId="539E047D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14:paraId="701F2306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Autor</w:t>
            </w:r>
          </w:p>
        </w:tc>
        <w:tc>
          <w:tcPr>
            <w:tcW w:w="2124" w:type="dxa"/>
            <w:vAlign w:val="center"/>
          </w:tcPr>
          <w:p w14:paraId="758F816E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</w:t>
            </w:r>
          </w:p>
        </w:tc>
      </w:tr>
      <w:tr w:rsidR="003553C1" w14:paraId="74D46A62" w14:textId="77777777">
        <w:trPr>
          <w:jc w:val="center"/>
        </w:trPr>
        <w:tc>
          <w:tcPr>
            <w:tcW w:w="2123" w:type="dxa"/>
            <w:vAlign w:val="center"/>
          </w:tcPr>
          <w:p w14:paraId="5453EF6B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Original</w:t>
            </w:r>
          </w:p>
        </w:tc>
        <w:tc>
          <w:tcPr>
            <w:tcW w:w="2123" w:type="dxa"/>
            <w:vAlign w:val="center"/>
          </w:tcPr>
          <w:p w14:paraId="3314B689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 creó el procedimiento ISO 9001:2015</w:t>
            </w:r>
          </w:p>
        </w:tc>
        <w:tc>
          <w:tcPr>
            <w:tcW w:w="2124" w:type="dxa"/>
            <w:vAlign w:val="center"/>
          </w:tcPr>
          <w:p w14:paraId="3CAB775E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Lucia Moreno </w:t>
            </w:r>
          </w:p>
        </w:tc>
        <w:tc>
          <w:tcPr>
            <w:tcW w:w="2124" w:type="dxa"/>
            <w:vAlign w:val="center"/>
          </w:tcPr>
          <w:p w14:paraId="190F2392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Julio /2020</w:t>
            </w:r>
          </w:p>
        </w:tc>
      </w:tr>
    </w:tbl>
    <w:p w14:paraId="14022359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12B69E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F4A876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EF8146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503F1C11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249683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AEED5E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D4F774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2601D8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219A1A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21C118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F993E7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ABEB20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67D4CF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5BED28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A5D700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35C8B4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6199F4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5DEC76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4542E9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OBJETIVO.</w:t>
      </w:r>
    </w:p>
    <w:p w14:paraId="4B24A887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Definir la metodología y responsabilidades en el control de las incidencias y reclamaciones del cliente como </w:t>
      </w:r>
      <w:r>
        <w:rPr>
          <w:rFonts w:ascii="Arial" w:eastAsia="Arial" w:hAnsi="Arial" w:cs="Arial"/>
          <w:sz w:val="22"/>
          <w:szCs w:val="22"/>
        </w:rPr>
        <w:t>consecuencia de fallas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el proceso.</w:t>
      </w:r>
    </w:p>
    <w:p w14:paraId="5862329C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ALCANCE.</w:t>
      </w:r>
    </w:p>
    <w:p w14:paraId="4A3C7645" w14:textId="6F5D6BFD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Servicio ofrecido por </w:t>
      </w:r>
      <w:r w:rsidR="00D80094">
        <w:rPr>
          <w:rFonts w:ascii="Arial" w:eastAsia="Arial" w:hAnsi="Arial" w:cs="Arial"/>
          <w:b/>
          <w:color w:val="000000"/>
          <w:sz w:val="22"/>
          <w:szCs w:val="22"/>
        </w:rPr>
        <w:t>ADONITRANS</w:t>
      </w:r>
    </w:p>
    <w:p w14:paraId="0C92089D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REFERENCIAS NORMATIVAS.</w:t>
      </w:r>
    </w:p>
    <w:p w14:paraId="596136D1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NTC ISO 9001:2015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requisitos del sistema de gestión de calidad, 8.7 control de salidas y no conformes,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8.7.2  Conservar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información documentada.</w:t>
      </w:r>
    </w:p>
    <w:p w14:paraId="0180CA38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ISO 45001:2018</w:t>
      </w:r>
    </w:p>
    <w:p w14:paraId="44DA7519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0BCB271D" w14:textId="77777777"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BA8391D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Cuando ocurra un incidente o una no conformidad, la organización debe: </w:t>
      </w:r>
    </w:p>
    <w:p w14:paraId="4FA3BC24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Reaccionar de manera oportuna ante el incidente o la no conformidad y, según sea aplicable: </w:t>
      </w:r>
    </w:p>
    <w:p w14:paraId="57758A2B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Tomar acciones para controlar y corregir el incidente o la no conformidad; </w:t>
      </w:r>
    </w:p>
    <w:p w14:paraId="53426C56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Hacer frente a las consecuencias; </w:t>
      </w:r>
    </w:p>
    <w:p w14:paraId="3642FB7B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42B6682A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La investigación del incidente o la revisión de la no conformidad; </w:t>
      </w:r>
    </w:p>
    <w:p w14:paraId="6AC6DBDC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La determinación de las causas del incidente o la no conformidad; </w:t>
      </w:r>
    </w:p>
    <w:p w14:paraId="69ED877F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3) La determinación de si han ocurrido incidentes similares, si existen no conformidades, o si potencialmente podrían ocurrir; </w:t>
      </w:r>
    </w:p>
    <w:p w14:paraId="587407A6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Revisar las evaluaciones existentes de los riesgos para la SST y otros riesgos, según sea apropiado (véase 6.1); ISO 45001:2018 </w:t>
      </w:r>
    </w:p>
    <w:p w14:paraId="76565673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Determinar e implementar cualquier acción necesaria, incluyendo acciones correctivas, de acuerdo con la jerarquía de los controles (véase 8.1.2) y la gestión del cambio (véase 8.1.3); </w:t>
      </w:r>
    </w:p>
    <w:p w14:paraId="693F703D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Evaluar los riesgos de la SST que se relacionan con los peligros nuevos o modificados, antes de tomar acciones; </w:t>
      </w:r>
    </w:p>
    <w:p w14:paraId="41C1B4BE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Revisar la eficacia de cualquier acción tomada, incluyendo las acciones correctivas; </w:t>
      </w:r>
    </w:p>
    <w:p w14:paraId="3F3FBC08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Si fuera necesario, hacer cambios al sistema de gestión de la SST. Las acciones correctivas deben ser apropiadas a los efectos o los efectos potenciales de los incidentes o las no conformidades encontradas. </w:t>
      </w:r>
    </w:p>
    <w:p w14:paraId="0B1D6509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organización debe conservar información documentada, como evidencia de: </w:t>
      </w:r>
    </w:p>
    <w:p w14:paraId="01B9D3DA" w14:textId="77777777"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10113E8" w14:textId="77777777" w:rsidR="003553C1" w:rsidRDefault="00DE7291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naturaleza de los incidentes o las no conformidades y cualquier acción tomada posteriormente; </w:t>
      </w:r>
    </w:p>
    <w:p w14:paraId="31659096" w14:textId="77777777" w:rsidR="003553C1" w:rsidRDefault="00DE7291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2068AB27" w14:textId="77777777"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A7AB6C8" w14:textId="77777777"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C2F8AB" w14:textId="77777777"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2CA5BB6" w14:textId="77777777"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NOTA Informar e investigar incidentes sin retrasos indebidos puede permitir que se eliminen los peligros y que los riesgos para la SST asociados se minimicen lo antes </w:t>
      </w:r>
    </w:p>
    <w:p w14:paraId="382D39AC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A0A57A6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4. RESPONSABILIDADES.</w:t>
      </w:r>
    </w:p>
    <w:tbl>
      <w:tblPr>
        <w:tblStyle w:val="a0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2813"/>
      </w:tblGrid>
      <w:tr w:rsidR="003553C1" w14:paraId="5883BAD4" w14:textId="77777777">
        <w:trPr>
          <w:trHeight w:val="1013"/>
        </w:trPr>
        <w:tc>
          <w:tcPr>
            <w:tcW w:w="3510" w:type="dxa"/>
          </w:tcPr>
          <w:p w14:paraId="39D13ED1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B63A4A7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ACTIVIDADES</w:t>
            </w:r>
          </w:p>
        </w:tc>
        <w:tc>
          <w:tcPr>
            <w:tcW w:w="2977" w:type="dxa"/>
          </w:tcPr>
          <w:p w14:paraId="28B07482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47270E7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RESPONSABLE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 PROCESO</w:t>
            </w:r>
          </w:p>
        </w:tc>
        <w:tc>
          <w:tcPr>
            <w:tcW w:w="2813" w:type="dxa"/>
          </w:tcPr>
          <w:p w14:paraId="056200F3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BCB1224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RESPONSABLE DE CALIDAD</w:t>
            </w:r>
          </w:p>
        </w:tc>
      </w:tr>
      <w:tr w:rsidR="003553C1" w14:paraId="40BD3024" w14:textId="77777777">
        <w:trPr>
          <w:trHeight w:val="686"/>
        </w:trPr>
        <w:tc>
          <w:tcPr>
            <w:tcW w:w="3510" w:type="dxa"/>
          </w:tcPr>
          <w:p w14:paraId="50A3495B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34208F1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Atención y registro incidencias y reclamaciones y /o identificación de fallas en los procesos (Operaciones)   </w:t>
            </w:r>
          </w:p>
          <w:p w14:paraId="375DDA12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2977" w:type="dxa"/>
          </w:tcPr>
          <w:p w14:paraId="2683BA2F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14:paraId="268A6827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14:paraId="26CA7A29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53C1" w14:paraId="5B98914E" w14:textId="77777777">
        <w:trPr>
          <w:trHeight w:val="950"/>
        </w:trPr>
        <w:tc>
          <w:tcPr>
            <w:tcW w:w="3510" w:type="dxa"/>
          </w:tcPr>
          <w:p w14:paraId="34ECA63A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Toma de soluciones en incidencias y reclamaciones y /o identificación de fallas en los procesos (Operaciones)   </w:t>
            </w:r>
          </w:p>
          <w:p w14:paraId="75B1CE0B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2977" w:type="dxa"/>
          </w:tcPr>
          <w:p w14:paraId="413A6712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14:paraId="7890E6BE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14:paraId="69F0F29E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53C1" w14:paraId="385ECF64" w14:textId="77777777">
        <w:trPr>
          <w:trHeight w:val="530"/>
        </w:trPr>
        <w:tc>
          <w:tcPr>
            <w:tcW w:w="3510" w:type="dxa"/>
          </w:tcPr>
          <w:p w14:paraId="070B4B7C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5B87F9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Verificación de las soluciones  </w:t>
            </w:r>
          </w:p>
        </w:tc>
        <w:tc>
          <w:tcPr>
            <w:tcW w:w="2977" w:type="dxa"/>
          </w:tcPr>
          <w:p w14:paraId="6D7C3093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14:paraId="50605E6E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14:paraId="1C137283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</w:t>
            </w:r>
          </w:p>
          <w:p w14:paraId="311CC92F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X</w:t>
            </w:r>
          </w:p>
        </w:tc>
      </w:tr>
      <w:tr w:rsidR="003553C1" w14:paraId="1706496C" w14:textId="77777777">
        <w:trPr>
          <w:trHeight w:val="668"/>
        </w:trPr>
        <w:tc>
          <w:tcPr>
            <w:tcW w:w="3510" w:type="dxa"/>
          </w:tcPr>
          <w:p w14:paraId="2846F576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438A4E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Control y cierre de no conformes                                          </w:t>
            </w:r>
          </w:p>
        </w:tc>
        <w:tc>
          <w:tcPr>
            <w:tcW w:w="2977" w:type="dxa"/>
          </w:tcPr>
          <w:p w14:paraId="4B1DB564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14:paraId="4DC49C1D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14:paraId="0AA5D5C3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53C1" w14:paraId="41205D20" w14:textId="77777777">
        <w:trPr>
          <w:trHeight w:val="1013"/>
        </w:trPr>
        <w:tc>
          <w:tcPr>
            <w:tcW w:w="3510" w:type="dxa"/>
          </w:tcPr>
          <w:p w14:paraId="673B74D2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  <w:p w14:paraId="6EFD8C28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Implantación de acciones correctivas                            </w:t>
            </w:r>
          </w:p>
        </w:tc>
        <w:tc>
          <w:tcPr>
            <w:tcW w:w="2977" w:type="dxa"/>
          </w:tcPr>
          <w:p w14:paraId="0FF6BBA4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14:paraId="078945A5" w14:textId="77777777"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14:paraId="38416DDC" w14:textId="77777777"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1A1640D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80EE0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REALIZACIÓN</w:t>
      </w:r>
    </w:p>
    <w:p w14:paraId="39AFA482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5.1. GENERALIDADES.</w:t>
      </w:r>
    </w:p>
    <w:p w14:paraId="2246CFE4" w14:textId="77777777" w:rsidR="003553C1" w:rsidRDefault="00DE72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14:paraId="11A22E4E" w14:textId="77777777" w:rsidR="003553C1" w:rsidRDefault="00DE72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Tipos de rechazo: Serán definidos para cada una de las áreas de la organización.</w:t>
      </w:r>
    </w:p>
    <w:p w14:paraId="15D71CF6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RECHAZO INTERNO</w:t>
      </w:r>
    </w:p>
    <w:p w14:paraId="787ECCCD" w14:textId="77777777" w:rsidR="003553C1" w:rsidRDefault="00DE7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Las fallas que puedan presentarse en el mantenimiento de los vehículos ver </w:t>
      </w:r>
      <w:r>
        <w:rPr>
          <w:rFonts w:ascii="Arial" w:eastAsia="Arial" w:hAnsi="Arial" w:cs="Arial"/>
          <w:sz w:val="22"/>
          <w:szCs w:val="22"/>
        </w:rPr>
        <w:t>módulo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mantenimiento</w:t>
      </w:r>
    </w:p>
    <w:p w14:paraId="3383C098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RECHAZOS EXTERNOS</w:t>
      </w:r>
    </w:p>
    <w:p w14:paraId="60806541" w14:textId="77777777" w:rsidR="003553C1" w:rsidRDefault="00DE7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Quejas del cliente:</w:t>
      </w:r>
    </w:p>
    <w:p w14:paraId="38B946E1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ACCIÓN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CORRECTIVA</w:t>
      </w:r>
    </w:p>
    <w:p w14:paraId="36E0FE87" w14:textId="77777777" w:rsidR="003553C1" w:rsidRDefault="00DE7291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aquella acción tomada para eliminar las causas de un problema real.</w:t>
      </w:r>
    </w:p>
    <w:p w14:paraId="7091643F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BFB19C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0D76BB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5.2   DETECCIÓN Y REGISTRO DE NO CONFORMIDADES</w:t>
      </w:r>
    </w:p>
    <w:p w14:paraId="34909B3B" w14:textId="6E7D3099"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La detección, recepción y comunicación de incidencias y reclamaciones 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 deber y una responsabilidad de todo el personal de </w:t>
      </w:r>
      <w:r w:rsidR="00D80094">
        <w:rPr>
          <w:rFonts w:ascii="Arial" w:eastAsia="Arial" w:hAnsi="Arial" w:cs="Arial"/>
          <w:b/>
          <w:color w:val="000000"/>
          <w:sz w:val="22"/>
          <w:szCs w:val="22"/>
        </w:rPr>
        <w:t>ADONITRANS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Debe hacerse el máximo esfuerzo por detectar y registrar las posibles situaciones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color w:val="000000"/>
          <w:sz w:val="22"/>
          <w:szCs w:val="22"/>
        </w:rPr>
        <w:t>ntes de que el cliente se vea afectado. La información recogida es de suma importancia para la mejora continua del servicio.</w:t>
      </w:r>
    </w:p>
    <w:p w14:paraId="2AA00239" w14:textId="77777777"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incidencias y reclamaciones se anotan, aportando la mayor información posible, en el Informe de no conformidad y Reclamaciones con:</w:t>
      </w:r>
    </w:p>
    <w:p w14:paraId="57820BBD" w14:textId="77777777"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número de incidencias y reclamaciones en el mes y acumuladas en el año.</w: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A0711FF" wp14:editId="1C4A2C52">
                <wp:simplePos x="0" y="0"/>
                <wp:positionH relativeFrom="column">
                  <wp:posOffset>-2184399</wp:posOffset>
                </wp:positionH>
                <wp:positionV relativeFrom="paragraph">
                  <wp:posOffset>12700</wp:posOffset>
                </wp:positionV>
                <wp:extent cx="25400" cy="4711700"/>
                <wp:effectExtent l="0" t="0" r="0" b="0"/>
                <wp:wrapNone/>
                <wp:docPr id="1026" name="Conector recto de flecha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12700</wp:posOffset>
                </wp:positionV>
                <wp:extent cx="25400" cy="471170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71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0932FE" w14:textId="77777777"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frecuencia de las incidencias y reclamaciones clasificadas por tipo.</w:t>
      </w:r>
    </w:p>
    <w:p w14:paraId="02F6123E" w14:textId="77777777"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Gerencia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General utiliza el resumen anterior en las reuniones de evaluación de la calidad del servicio, junto con la tasa de Incidencias y Reclamaciones.</w:t>
      </w:r>
    </w:p>
    <w:p w14:paraId="35269171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A66962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5.3 TRATAMIENTO DE INCIDENTES Y NO CONFORMIDADES</w:t>
      </w:r>
    </w:p>
    <w:p w14:paraId="42258A1A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definición de acciones inmediatas para resolver el problema corresponde a:</w:t>
      </w:r>
    </w:p>
    <w:p w14:paraId="352FD572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1C53A1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dueño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cada proceso, cuando el </w:t>
      </w:r>
      <w:r>
        <w:rPr>
          <w:rFonts w:ascii="Arial" w:eastAsia="Arial" w:hAnsi="Arial" w:cs="Arial"/>
          <w:sz w:val="22"/>
          <w:szCs w:val="22"/>
        </w:rPr>
        <w:t>incidente 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conformidad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puede calificarse de leve.</w:t>
      </w:r>
    </w:p>
    <w:p w14:paraId="64C0F977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la Junta Directiva y al Gerente General, cuando la incidencia o reclamación </w:t>
      </w:r>
      <w:r>
        <w:rPr>
          <w:rFonts w:ascii="Arial" w:eastAsia="Arial" w:hAnsi="Arial" w:cs="Arial"/>
          <w:sz w:val="22"/>
          <w:szCs w:val="22"/>
        </w:rPr>
        <w:t>conlleva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utilización de medios y recursos extraordinarios.</w:t>
      </w:r>
    </w:p>
    <w:p w14:paraId="5A2F29FD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Gerente General cuando la gravedad del problema puede originar la pérdida del   usuario o la imagen de la compañía</w:t>
      </w:r>
      <w:r>
        <w:rPr>
          <w:rFonts w:ascii="Arial" w:eastAsia="Arial" w:hAnsi="Arial" w:cs="Arial"/>
          <w:sz w:val="22"/>
          <w:szCs w:val="22"/>
        </w:rPr>
        <w:t>.</w:t>
      </w:r>
    </w:p>
    <w:p w14:paraId="5E6AADFE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el problema puede afectar a los compromisos con el usuario,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os responsables del proceso involucrado deben establecer contacto con él para informarle de la situación y, si es necesario, buscar alternativas o soluciones.</w:t>
      </w:r>
    </w:p>
    <w:p w14:paraId="3DA1D65F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Tratamiento del incidente y producto conforme.</w:t>
      </w:r>
    </w:p>
    <w:p w14:paraId="04A9BFF9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dueños del proceso deben dar cierre a la no conformidad y realizar la respectiva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verificación  para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demostrar la  conformidad con los requisitos. </w:t>
      </w:r>
    </w:p>
    <w:p w14:paraId="7F36758A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responsable del proceso es el encargado de:</w:t>
      </w:r>
    </w:p>
    <w:p w14:paraId="67483747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Supervisar semanalmente que los Informes de no conformes abiertos se han tratados correctamente mediante las acciones más apropiadas.</w:t>
      </w:r>
    </w:p>
    <w:p w14:paraId="587D7A47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Comprobar que estas acciones son eficientes (seguimiento).</w:t>
      </w:r>
    </w:p>
    <w:p w14:paraId="60C8EDAD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Cerrar el Informe tras verificar que el problema se ha solucionado, anotando los motivos que le inducen a ello.</w:t>
      </w:r>
    </w:p>
    <w:p w14:paraId="1752F7AB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4F40B39" w14:textId="77777777"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5F7B14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 el caso de que las acciones emprendidas sean ineficaces, la persona que originariamente definió las acciones a tomar volverá a definir las acciones que crea más adecuadas.</w:t>
      </w:r>
    </w:p>
    <w:p w14:paraId="47015AEC" w14:textId="77777777"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Clasificación de la severidad</w:t>
      </w:r>
    </w:p>
    <w:p w14:paraId="1A09F378" w14:textId="77777777"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Baja: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 menor que no afecta la operación</w:t>
      </w:r>
    </w:p>
    <w:p w14:paraId="0ACDF879" w14:textId="77777777"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Media: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Fallas menores que afectan la operación levemente </w:t>
      </w:r>
    </w:p>
    <w:p w14:paraId="1AC1DE13" w14:textId="77777777"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Alta: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 que afecta el desarrollo del servicio</w:t>
      </w:r>
    </w:p>
    <w:p w14:paraId="1A714783" w14:textId="77777777"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Seria: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 que imposibilita la prestación del servicio</w:t>
      </w:r>
    </w:p>
    <w:p w14:paraId="06D12072" w14:textId="77777777"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5.4 Anexos</w:t>
      </w:r>
    </w:p>
    <w:p w14:paraId="1FD65D34" w14:textId="77777777"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 Módulo de no conformes del sistema de información.</w:t>
      </w:r>
    </w:p>
    <w:p w14:paraId="7DC258AC" w14:textId="77777777"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Ver Módulo de novedades de transporte </w:t>
      </w:r>
    </w:p>
    <w:p w14:paraId="23D0B4F3" w14:textId="77777777"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Tutorial del módulo del SIG</w:t>
      </w:r>
    </w:p>
    <w:p w14:paraId="18BA8880" w14:textId="77777777"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Tutorial módulo de transporte</w:t>
      </w:r>
    </w:p>
    <w:p w14:paraId="47134F25" w14:textId="77777777"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4AD02491" w14:textId="77777777"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E17BE9F" w14:textId="77777777"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FF89B79" w14:textId="77777777"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F715642" w14:textId="77777777"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sectPr w:rsidR="00355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AD38" w14:textId="77777777" w:rsidR="0016602F" w:rsidRDefault="0016602F">
      <w:pPr>
        <w:spacing w:line="240" w:lineRule="auto"/>
        <w:ind w:left="0" w:hanging="2"/>
      </w:pPr>
      <w:r>
        <w:separator/>
      </w:r>
    </w:p>
  </w:endnote>
  <w:endnote w:type="continuationSeparator" w:id="0">
    <w:p w14:paraId="5079E3D4" w14:textId="77777777" w:rsidR="0016602F" w:rsidRDefault="001660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DD7D" w14:textId="77777777" w:rsidR="00480B35" w:rsidRDefault="00480B3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F1F5" w14:textId="77777777" w:rsidR="00480B35" w:rsidRDefault="00480B35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414C" w14:textId="77777777" w:rsidR="00480B35" w:rsidRDefault="00480B3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DEB7" w14:textId="77777777" w:rsidR="0016602F" w:rsidRDefault="0016602F">
      <w:pPr>
        <w:spacing w:line="240" w:lineRule="auto"/>
        <w:ind w:left="0" w:hanging="2"/>
      </w:pPr>
      <w:r>
        <w:separator/>
      </w:r>
    </w:p>
  </w:footnote>
  <w:footnote w:type="continuationSeparator" w:id="0">
    <w:p w14:paraId="07152950" w14:textId="77777777" w:rsidR="0016602F" w:rsidRDefault="001660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2349" w14:textId="77777777" w:rsidR="00480B35" w:rsidRDefault="00480B3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D341" w14:textId="77777777" w:rsidR="003553C1" w:rsidRDefault="003553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W w:w="11330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7087"/>
      <w:gridCol w:w="1559"/>
    </w:tblGrid>
    <w:tr w:rsidR="00D80094" w:rsidRPr="000C2073" w14:paraId="2C3ABDA6" w14:textId="77777777" w:rsidTr="00D80094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A38F1A6" w14:textId="28E40BD0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bookmarkStart w:id="0" w:name="_Hlk86833361"/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Código:</w:t>
          </w:r>
          <w:r>
            <w:rPr>
              <w:b/>
              <w:bCs/>
              <w:color w:val="000000"/>
              <w:sz w:val="18"/>
              <w:szCs w:val="18"/>
              <w:lang w:eastAsia="es-US" w:bidi="es-ES"/>
            </w:rPr>
            <w:t xml:space="preserve"> </w:t>
          </w:r>
          <w:r w:rsidRPr="000C2073">
            <w:rPr>
              <w:b/>
              <w:bCs/>
              <w:sz w:val="18"/>
              <w:szCs w:val="18"/>
            </w:rPr>
            <w:t>PRC-SST-0</w:t>
          </w:r>
          <w:r>
            <w:rPr>
              <w:b/>
              <w:bCs/>
              <w:sz w:val="18"/>
              <w:szCs w:val="18"/>
            </w:rPr>
            <w:t>20</w:t>
          </w:r>
        </w:p>
      </w:tc>
      <w:tc>
        <w:tcPr>
          <w:tcW w:w="7087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59B25F3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Cs w:val="24"/>
              <w:lang w:eastAsia="es-US" w:bidi="es-ES"/>
            </w:rPr>
            <w:t>PROCESO SST</w:t>
          </w:r>
        </w:p>
      </w:tc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C0BC167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noProof/>
              <w:color w:val="000000"/>
              <w:sz w:val="18"/>
              <w:szCs w:val="18"/>
              <w:bdr w:val="none" w:sz="0" w:space="0" w:color="auto" w:frame="1"/>
              <w:lang w:eastAsia="es-US" w:bidi="es-ES"/>
            </w:rPr>
            <w:t>Logo</w:t>
          </w:r>
        </w:p>
        <w:p w14:paraId="1A077C5D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D80094" w:rsidRPr="000C2073" w14:paraId="2342E03F" w14:textId="77777777" w:rsidTr="00D80094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48A562E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Versión: 1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A190A7D" w14:textId="301A449C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right="49" w:hanging="2"/>
            <w:jc w:val="center"/>
            <w:rPr>
              <w:b/>
              <w:bCs/>
              <w:szCs w:val="24"/>
              <w:lang w:eastAsia="es-US" w:bidi="es-ES"/>
            </w:rPr>
          </w:pPr>
          <w:r w:rsidRPr="000C2073">
            <w:rPr>
              <w:b/>
              <w:bCs/>
              <w:szCs w:val="24"/>
              <w:lang w:eastAsia="es-US" w:bidi="es-ES"/>
            </w:rPr>
            <w:t xml:space="preserve">PROCEDIMIENTO </w:t>
          </w:r>
          <w:r>
            <w:rPr>
              <w:b/>
              <w:bCs/>
              <w:szCs w:val="24"/>
              <w:lang w:eastAsia="es-US" w:bidi="es-ES"/>
            </w:rPr>
            <w:t>DE INCIDENTES CONTROL DE SALIDAS NO CONFORMES</w:t>
          </w: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DB426D8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D80094" w:rsidRPr="000C2073" w14:paraId="13CADEBF" w14:textId="77777777" w:rsidTr="00D80094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7A19811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Fecha elaboración: 26/10/2021</w:t>
          </w:r>
        </w:p>
      </w:tc>
      <w:tc>
        <w:tcPr>
          <w:tcW w:w="7087" w:type="dxa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D53B371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F17EC23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D80094" w:rsidRPr="000C2073" w14:paraId="12A362D0" w14:textId="77777777" w:rsidTr="00D80094">
      <w:trPr>
        <w:trHeight w:val="12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8D00BAB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Fecha aprobación: 26/10/2021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05C8780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lang w:eastAsia="es-US" w:bidi="es-ES"/>
            </w:rPr>
            <w:t>Documento elaborado por: Coordinador SST</w:t>
          </w: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8C6EDF3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D80094" w:rsidRPr="000C2073" w14:paraId="0CAA563D" w14:textId="77777777" w:rsidTr="00D80094">
      <w:trPr>
        <w:trHeight w:val="17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1128FBE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Vigencia a partir de: 26/10/2021</w:t>
          </w:r>
        </w:p>
      </w:tc>
      <w:tc>
        <w:tcPr>
          <w:tcW w:w="7087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60213F1E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67F4C98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bookmarkEnd w:id="0"/>
  </w:tbl>
  <w:p w14:paraId="61084440" w14:textId="77777777" w:rsidR="003553C1" w:rsidRDefault="003553C1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C046" w14:textId="77777777" w:rsidR="00480B35" w:rsidRDefault="00480B35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5CEE"/>
    <w:multiLevelType w:val="multilevel"/>
    <w:tmpl w:val="BA3297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96336A"/>
    <w:multiLevelType w:val="multilevel"/>
    <w:tmpl w:val="6CC8AF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F76738"/>
    <w:multiLevelType w:val="multilevel"/>
    <w:tmpl w:val="2A26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23F0A38"/>
    <w:multiLevelType w:val="multilevel"/>
    <w:tmpl w:val="959E49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FCA116A"/>
    <w:multiLevelType w:val="multilevel"/>
    <w:tmpl w:val="A290F554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5" w15:restartNumberingAfterBreak="0">
    <w:nsid w:val="7CA04BF1"/>
    <w:multiLevelType w:val="multilevel"/>
    <w:tmpl w:val="505EB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98113226">
    <w:abstractNumId w:val="0"/>
  </w:num>
  <w:num w:numId="2" w16cid:durableId="1210262910">
    <w:abstractNumId w:val="3"/>
  </w:num>
  <w:num w:numId="3" w16cid:durableId="1117484124">
    <w:abstractNumId w:val="1"/>
  </w:num>
  <w:num w:numId="4" w16cid:durableId="2031711258">
    <w:abstractNumId w:val="5"/>
  </w:num>
  <w:num w:numId="5" w16cid:durableId="1353461598">
    <w:abstractNumId w:val="2"/>
  </w:num>
  <w:num w:numId="6" w16cid:durableId="145833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C1"/>
    <w:rsid w:val="0016602F"/>
    <w:rsid w:val="00170111"/>
    <w:rsid w:val="003553C1"/>
    <w:rsid w:val="00480B35"/>
    <w:rsid w:val="00761CF0"/>
    <w:rsid w:val="00D80094"/>
    <w:rsid w:val="00D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D9AC"/>
  <w15:docId w15:val="{395C1DC3-80CD-40A6-9E5C-80F6B64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/VgHKFXd10lJLGpV/E5HdHl0A==">AMUW2mXga6+eoE9mNOT0rQWt3Da6CG3hib0fDfWxsBx/FGlrMrMxzRHokUY4OFIW5/wYCbXszaeWgMetyUWvNXqsMjekZOW22MY+qSwpPdaACeOOGdoNgsc=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Máximo Cortes</cp:lastModifiedBy>
  <cp:revision>3</cp:revision>
  <dcterms:created xsi:type="dcterms:W3CDTF">2022-04-19T21:43:00Z</dcterms:created>
  <dcterms:modified xsi:type="dcterms:W3CDTF">2022-04-28T15:46:00Z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