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998C" w14:textId="77777777" w:rsidR="006D7A0A" w:rsidRDefault="002B319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INFORME DE INSPECCIÓN DE PUESTOS DE TRABAJO</w:t>
      </w:r>
    </w:p>
    <w:p w14:paraId="05DF6701" w14:textId="77777777" w:rsidR="006D7A0A" w:rsidRDefault="002B3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OBJETIVO:</w:t>
      </w:r>
    </w:p>
    <w:p w14:paraId="667F4E5A" w14:textId="77777777" w:rsidR="006D7A0A" w:rsidRDefault="002B31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Evaluar las condiciones de las áreas de trabajo, con el fin de identificar aquellos riesgos o condiciones inseguras que pueden generar accidentes o incidentes de trabajo, y poder generar las acciones correctivas.</w:t>
      </w:r>
    </w:p>
    <w:p w14:paraId="3CEDCD5A" w14:textId="77777777" w:rsidR="006D7A0A" w:rsidRDefault="002B3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UTILIDAD:</w:t>
      </w:r>
    </w:p>
    <w:p w14:paraId="09EBDCCD" w14:textId="77777777" w:rsidR="006D7A0A" w:rsidRDefault="002B31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inspecciones permiten:</w:t>
      </w:r>
    </w:p>
    <w:p w14:paraId="3882558D" w14:textId="77777777" w:rsidR="006D7A0A" w:rsidRDefault="002B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Identificar situaciones de riesgo que pueden causar accidentes e incidentes.</w:t>
      </w:r>
    </w:p>
    <w:p w14:paraId="7B18DB16" w14:textId="77777777" w:rsidR="006D7A0A" w:rsidRDefault="002B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Determinar medidas preventivas y correctivas para hacer más seguro el ambiente de trabajo.</w:t>
      </w:r>
    </w:p>
    <w:p w14:paraId="0399C52B" w14:textId="77777777" w:rsidR="006D7A0A" w:rsidRDefault="002B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Identificar prácticas de trabajo inseguras.</w:t>
      </w:r>
    </w:p>
    <w:p w14:paraId="3D2DC4EF" w14:textId="77777777" w:rsidR="006D7A0A" w:rsidRDefault="002B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Mejorar el ambiente de trabajo.</w:t>
      </w:r>
    </w:p>
    <w:p w14:paraId="1FE8D526" w14:textId="77777777" w:rsidR="006D7A0A" w:rsidRDefault="006D7A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4245E1DB" w14:textId="77777777" w:rsidR="006D7A0A" w:rsidRDefault="002B3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HALLAZGOS:</w:t>
      </w:r>
    </w:p>
    <w:tbl>
      <w:tblPr>
        <w:tblStyle w:val="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8"/>
        <w:gridCol w:w="4002"/>
      </w:tblGrid>
      <w:tr w:rsidR="006D7A0A" w14:paraId="240D05FB" w14:textId="77777777">
        <w:tc>
          <w:tcPr>
            <w:tcW w:w="6068" w:type="dxa"/>
          </w:tcPr>
          <w:p w14:paraId="0DF65A3D" w14:textId="3BEEEBAC" w:rsidR="006D7A0A" w:rsidRDefault="00D33C6A">
            <w:pPr>
              <w:jc w:val="both"/>
              <w:rPr>
                <w:rFonts w:ascii="Arial" w:eastAsia="Arial" w:hAnsi="Arial" w:cs="Arial"/>
              </w:rPr>
            </w:pPr>
            <w:r w:rsidRPr="00D33C6A">
              <w:rPr>
                <w:rFonts w:ascii="Arial" w:eastAsia="Arial" w:hAnsi="Arial" w:cs="Arial"/>
              </w:rPr>
              <w:drawing>
                <wp:anchor distT="0" distB="0" distL="114300" distR="114300" simplePos="0" relativeHeight="251660288" behindDoc="1" locked="0" layoutInCell="1" allowOverlap="1" wp14:anchorId="12BBFF6A" wp14:editId="2439384A">
                  <wp:simplePos x="0" y="0"/>
                  <wp:positionH relativeFrom="column">
                    <wp:posOffset>575417</wp:posOffset>
                  </wp:positionH>
                  <wp:positionV relativeFrom="paragraph">
                    <wp:posOffset>74494</wp:posOffset>
                  </wp:positionV>
                  <wp:extent cx="2438740" cy="3305636"/>
                  <wp:effectExtent l="0" t="0" r="0" b="9525"/>
                  <wp:wrapTight wrapText="bothSides">
                    <wp:wrapPolygon edited="0">
                      <wp:start x="0" y="0"/>
                      <wp:lineTo x="0" y="21538"/>
                      <wp:lineTo x="21431" y="21538"/>
                      <wp:lineTo x="21431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330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09B2B" w14:textId="0C40C608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2F7DA5A0" w14:textId="54A43E1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0247BF46" w14:textId="57D3EDDD" w:rsidR="006D7A0A" w:rsidRDefault="00D33C6A">
            <w:pPr>
              <w:jc w:val="both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73AFDA" wp14:editId="7A140F29">
                      <wp:extent cx="308610" cy="308610"/>
                      <wp:effectExtent l="0" t="0" r="0" b="0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4974C" id="Rectángulo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2" w:type="dxa"/>
          </w:tcPr>
          <w:p w14:paraId="1581933C" w14:textId="77777777" w:rsidR="006D7A0A" w:rsidRDefault="006D7A0A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6FA1E1F" w14:textId="77777777" w:rsidR="006D7A0A" w:rsidRDefault="002B31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Gerencia</w:t>
            </w:r>
          </w:p>
          <w:p w14:paraId="64625404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2B3E059B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Durante la inspección se evidenció que el espacio de trabajo es óptimo, se puede apoyar las muñecas, existe un alcance óptimo</w:t>
            </w:r>
          </w:p>
          <w:p w14:paraId="0569D138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función de la frecuencia de manejo de los elementos</w:t>
            </w:r>
          </w:p>
          <w:p w14:paraId="478C16E1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trabajo.</w:t>
            </w:r>
          </w:p>
          <w:p w14:paraId="64567ECB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654B0F68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sillas, son cómodas y de calidad, permitiendo que quienes las utilizan conserven la postura adecuada.</w:t>
            </w:r>
          </w:p>
          <w:p w14:paraId="0B9AE492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503F7C12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puestos de trabajo permanecen limpios y con los documentos necesarios para el desarrollo de sus actividades.</w:t>
            </w:r>
          </w:p>
          <w:p w14:paraId="2E879FDF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D7A0A" w14:paraId="46DD7D57" w14:textId="77777777">
        <w:tc>
          <w:tcPr>
            <w:tcW w:w="10070" w:type="dxa"/>
            <w:gridSpan w:val="2"/>
          </w:tcPr>
          <w:p w14:paraId="22AB2B1A" w14:textId="77777777" w:rsidR="006D7A0A" w:rsidRDefault="006D7A0A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BA151C6" w14:textId="77777777" w:rsidR="006D7A0A" w:rsidRDefault="002B31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Operaciones y Gestión Humana</w:t>
            </w:r>
          </w:p>
          <w:p w14:paraId="16CADDCB" w14:textId="77777777" w:rsidR="006D7A0A" w:rsidRDefault="006D7A0A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FAB6572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Durante el recorrido de inspección, se halló óptimas condiciones en el área de operaciones y gestión humana, puesto que se cuenta con el equipamiento necesario para el óptimo desarrollo de sus actividades, se tiene buena iluminación, los escritorios tienen buen espacio.</w:t>
            </w:r>
          </w:p>
          <w:p w14:paraId="0EB528C0" w14:textId="626A01D0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17D4762F" w14:textId="0FCB5525" w:rsidR="00D6606E" w:rsidRDefault="00D6606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068E2F35" wp14:editId="0832DDD7">
                  <wp:simplePos x="0" y="0"/>
                  <wp:positionH relativeFrom="column">
                    <wp:posOffset>1701264</wp:posOffset>
                  </wp:positionH>
                  <wp:positionV relativeFrom="paragraph">
                    <wp:posOffset>490</wp:posOffset>
                  </wp:positionV>
                  <wp:extent cx="2225407" cy="2004687"/>
                  <wp:effectExtent l="0" t="0" r="3810" b="0"/>
                  <wp:wrapTight wrapText="bothSides">
                    <wp:wrapPolygon edited="0">
                      <wp:start x="0" y="0"/>
                      <wp:lineTo x="0" y="21354"/>
                      <wp:lineTo x="21452" y="21354"/>
                      <wp:lineTo x="21452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07" cy="2004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E91528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A1E5C54" w14:textId="77777777" w:rsidR="006D7A0A" w:rsidRDefault="006D7A0A">
      <w:pPr>
        <w:jc w:val="both"/>
        <w:rPr>
          <w:rFonts w:ascii="Arial" w:eastAsia="Arial" w:hAnsi="Arial" w:cs="Arial"/>
        </w:rPr>
      </w:pP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4"/>
        <w:gridCol w:w="5046"/>
      </w:tblGrid>
      <w:tr w:rsidR="006D7A0A" w14:paraId="5850BF8B" w14:textId="77777777">
        <w:tc>
          <w:tcPr>
            <w:tcW w:w="5024" w:type="dxa"/>
          </w:tcPr>
          <w:p w14:paraId="4DD690E5" w14:textId="77777777" w:rsidR="006D7A0A" w:rsidRDefault="006D7A0A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B818D17" w14:textId="77777777" w:rsidR="006D7A0A" w:rsidRDefault="002B31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Contabilidad – Facturación y Recaudo</w:t>
            </w:r>
          </w:p>
          <w:p w14:paraId="740E7468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6994BDCD" w14:textId="77125398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contratistas de esta área de </w:t>
            </w:r>
            <w:r w:rsidR="00D33C6A">
              <w:rPr>
                <w:rFonts w:ascii="Arial" w:eastAsia="Arial" w:hAnsi="Arial" w:cs="Arial"/>
              </w:rPr>
              <w:t>trabajo</w:t>
            </w:r>
            <w:r>
              <w:rPr>
                <w:rFonts w:ascii="Arial" w:eastAsia="Arial" w:hAnsi="Arial" w:cs="Arial"/>
              </w:rPr>
              <w:t xml:space="preserve"> manejan un alto volumen de documentación, pero se evidencio un buen orden en sus puestos de trabajo, ya que solo mantienen la que necesitan en el momento, y no se ve un cúmulo de archivos en sus lugares.</w:t>
            </w:r>
          </w:p>
          <w:p w14:paraId="0A4263C7" w14:textId="77777777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2FFA77E6" w14:textId="77777777" w:rsidR="006D7A0A" w:rsidRDefault="002B31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Este espacio también cuenta con buena iluminación y los escritorios son espaciosos lo que les permite una mayor comodidad. Por otro lado, se recomienda que opten por mejorar la postura en sus sillas.</w:t>
            </w:r>
          </w:p>
        </w:tc>
        <w:tc>
          <w:tcPr>
            <w:tcW w:w="5046" w:type="dxa"/>
          </w:tcPr>
          <w:p w14:paraId="36D68BA5" w14:textId="297E7758" w:rsidR="006D7A0A" w:rsidRDefault="00D6606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77D73C6" wp14:editId="7C314ABD">
                  <wp:simplePos x="0" y="0"/>
                  <wp:positionH relativeFrom="column">
                    <wp:posOffset>40258</wp:posOffset>
                  </wp:positionH>
                  <wp:positionV relativeFrom="paragraph">
                    <wp:posOffset>192421</wp:posOffset>
                  </wp:positionV>
                  <wp:extent cx="2928620" cy="2196465"/>
                  <wp:effectExtent l="0" t="0" r="5080" b="0"/>
                  <wp:wrapTight wrapText="bothSides">
                    <wp:wrapPolygon edited="0">
                      <wp:start x="0" y="0"/>
                      <wp:lineTo x="0" y="21356"/>
                      <wp:lineTo x="21497" y="21356"/>
                      <wp:lineTo x="21497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20" cy="219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B811A8" w14:textId="0A08D733" w:rsidR="006D7A0A" w:rsidRDefault="006D7A0A">
            <w:pPr>
              <w:jc w:val="both"/>
              <w:rPr>
                <w:rFonts w:ascii="Arial" w:eastAsia="Arial" w:hAnsi="Arial" w:cs="Arial"/>
              </w:rPr>
            </w:pPr>
          </w:p>
          <w:p w14:paraId="338A3645" w14:textId="3A42A346" w:rsidR="006D7A0A" w:rsidRDefault="00D6606E">
            <w:pPr>
              <w:jc w:val="both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BCF1F3" wp14:editId="6A6980DD">
                      <wp:extent cx="308610" cy="308610"/>
                      <wp:effectExtent l="0" t="0" r="0" b="0"/>
                      <wp:docPr id="6" name="Rectángulo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0EF23" id="Rectángulo 6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6606E" w14:paraId="3323B7EE" w14:textId="77777777">
        <w:tc>
          <w:tcPr>
            <w:tcW w:w="5024" w:type="dxa"/>
          </w:tcPr>
          <w:p w14:paraId="3A00A67A" w14:textId="1F6B5988" w:rsidR="00D6606E" w:rsidRDefault="00D6606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5214E410" wp14:editId="4048AD5F">
                  <wp:simplePos x="0" y="0"/>
                  <wp:positionH relativeFrom="column">
                    <wp:posOffset>586021</wp:posOffset>
                  </wp:positionH>
                  <wp:positionV relativeFrom="paragraph">
                    <wp:posOffset>298</wp:posOffset>
                  </wp:positionV>
                  <wp:extent cx="1685290" cy="1905635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242" y="21377"/>
                      <wp:lineTo x="21242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90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A5287E" w14:textId="781A2E33" w:rsidR="00D6606E" w:rsidRDefault="00D6606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46" w:type="dxa"/>
          </w:tcPr>
          <w:p w14:paraId="7DF43EEB" w14:textId="77777777" w:rsidR="00D6606E" w:rsidRDefault="00D6606E" w:rsidP="00D6606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E1EC6CB" w14:textId="77777777" w:rsidR="00D6606E" w:rsidRDefault="00D6606E" w:rsidP="00D66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Sala de juntas</w:t>
            </w:r>
          </w:p>
          <w:p w14:paraId="1DBD1252" w14:textId="77777777" w:rsidR="00D6606E" w:rsidRDefault="00D6606E" w:rsidP="00D6606E">
            <w:pPr>
              <w:jc w:val="both"/>
              <w:rPr>
                <w:rFonts w:ascii="Arial" w:eastAsia="Arial" w:hAnsi="Arial" w:cs="Arial"/>
              </w:rPr>
            </w:pPr>
          </w:p>
          <w:p w14:paraId="7A0F2C4E" w14:textId="79748C95" w:rsidR="00D6606E" w:rsidRDefault="00D6606E" w:rsidP="00D6606E">
            <w:pPr>
              <w:jc w:val="both"/>
              <w:rPr>
                <w:rFonts w:ascii="Arial" w:eastAsia="Arial" w:hAnsi="Arial" w:cs="Arial"/>
                <w:noProof/>
              </w:rPr>
            </w:pPr>
            <w:r>
              <w:rPr>
                <w:rFonts w:ascii="Arial" w:eastAsia="Arial" w:hAnsi="Arial" w:cs="Arial"/>
              </w:rPr>
              <w:t>En la inspección se evidenció que la sala de juntas es un espacio agradable, en el cual, hay excelente iluminación, las sillas son confortable y hay suficiente espacio, para brindar comodidad a quienes hagan uso de este espacio</w:t>
            </w:r>
          </w:p>
        </w:tc>
      </w:tr>
    </w:tbl>
    <w:p w14:paraId="61EED408" w14:textId="77777777" w:rsidR="006D7A0A" w:rsidRDefault="006D7A0A">
      <w:pPr>
        <w:jc w:val="both"/>
        <w:rPr>
          <w:rFonts w:ascii="Arial" w:eastAsia="Arial" w:hAnsi="Arial" w:cs="Arial"/>
        </w:rPr>
      </w:pPr>
    </w:p>
    <w:p w14:paraId="22492EB8" w14:textId="77777777" w:rsidR="006D7A0A" w:rsidRDefault="002B3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OBSERVACIONES GENERALES</w:t>
      </w:r>
    </w:p>
    <w:p w14:paraId="6C920D53" w14:textId="77777777" w:rsidR="006D7A0A" w:rsidRDefault="006D7A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3A162A1B" w14:textId="77777777" w:rsidR="006D7A0A" w:rsidRDefault="002B31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Durante el recorrido se </w:t>
      </w:r>
      <w:r>
        <w:rPr>
          <w:rFonts w:ascii="Arial" w:eastAsia="Arial" w:hAnsi="Arial" w:cs="Arial"/>
        </w:rPr>
        <w:t>evidenció</w:t>
      </w:r>
      <w:r>
        <w:rPr>
          <w:rFonts w:ascii="Arial" w:eastAsia="Arial" w:hAnsi="Arial" w:cs="Arial"/>
          <w:color w:val="000000"/>
        </w:rPr>
        <w:t xml:space="preserve"> que las instalaciones cuentan con buena señalización de sus espacios.</w:t>
      </w:r>
    </w:p>
    <w:p w14:paraId="63510E5C" w14:textId="37A0DB0E" w:rsidR="00D6606E" w:rsidRDefault="002B3194" w:rsidP="00D660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camilla y el botiquín están en un lugar visible y de fácil accesibilidad</w:t>
      </w:r>
      <w:r w:rsidR="00D33C6A">
        <w:rPr>
          <w:rFonts w:ascii="Arial" w:eastAsia="Arial" w:hAnsi="Arial" w:cs="Arial"/>
          <w:color w:val="000000"/>
        </w:rPr>
        <w:t xml:space="preserve">, sin </w:t>
      </w:r>
      <w:r w:rsidR="008134AC">
        <w:rPr>
          <w:rFonts w:ascii="Arial" w:eastAsia="Arial" w:hAnsi="Arial" w:cs="Arial"/>
          <w:color w:val="000000"/>
        </w:rPr>
        <w:t>embargo,</w:t>
      </w:r>
      <w:r w:rsidR="00D33C6A">
        <w:rPr>
          <w:rFonts w:ascii="Arial" w:eastAsia="Arial" w:hAnsi="Arial" w:cs="Arial"/>
          <w:color w:val="000000"/>
        </w:rPr>
        <w:t xml:space="preserve"> se recomienda realizar actualización del botiquín, dado que solo cuenta con una botella de alcohol, un paquete de algodón, gaza (1 und.). Actualizar según listado:</w:t>
      </w:r>
    </w:p>
    <w:p w14:paraId="5A915188" w14:textId="42DCCFA0" w:rsidR="00D6606E" w:rsidRDefault="00D6606E" w:rsidP="00D660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D6606E">
        <w:rPr>
          <w:rFonts w:ascii="Arial" w:eastAsia="Arial" w:hAnsi="Arial" w:cs="Arial"/>
          <w:color w:val="000000"/>
        </w:rPr>
        <w:t>¿Qué contiene el botiquín tipo A?</w:t>
      </w:r>
    </w:p>
    <w:p w14:paraId="63125BA3" w14:textId="77777777" w:rsidR="00D6606E" w:rsidRDefault="00D6606E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</w:p>
    <w:p w14:paraId="695CCC17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D6606E">
        <w:rPr>
          <w:rFonts w:ascii="Arial" w:eastAsia="Arial" w:hAnsi="Arial" w:cs="Arial"/>
          <w:color w:val="000000"/>
        </w:rPr>
        <w:t>De acuerdo con lo contemplado en la Resolución 0705, el botiquín tipo A, debe contener 14 elementos. El tipo de botiquín puede ser portátil de maletín en lona o fijos pero la cantidad deben ser los 14 elementos.</w:t>
      </w:r>
    </w:p>
    <w:p w14:paraId="51745623" w14:textId="77777777" w:rsidR="00D6606E" w:rsidRDefault="00D6606E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</w:p>
    <w:p w14:paraId="166EDCF9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b/>
          <w:bCs/>
          <w:color w:val="000000"/>
        </w:rPr>
        <w:t>Dotación del botiquín de primeros auxilios tipo A:</w:t>
      </w:r>
    </w:p>
    <w:p w14:paraId="010B2399" w14:textId="77777777" w:rsidR="00D6606E" w:rsidRDefault="00D6606E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</w:p>
    <w:p w14:paraId="1DE674D0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Gasa Estéril: 20 unidades.</w:t>
      </w:r>
    </w:p>
    <w:p w14:paraId="2861A7D3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Esparadrapo de Tela: 1 rollo de 4″ x 5 Yd.</w:t>
      </w:r>
    </w:p>
    <w:p w14:paraId="12E43A37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Baja lenguas en Madera: 1 paquete x 20 unidades.</w:t>
      </w:r>
    </w:p>
    <w:p w14:paraId="574B96CC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Guantes de Látex: 1 caja x 100 unidades.</w:t>
      </w:r>
    </w:p>
    <w:p w14:paraId="084108EF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Venda elástica: 1 unidad de 2″ x 5 Yd.</w:t>
      </w:r>
    </w:p>
    <w:p w14:paraId="371C139B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Venda elástica: 1 unidad de 3″ x 5 Yd.</w:t>
      </w:r>
    </w:p>
    <w:p w14:paraId="41817913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Venda elástica: 1 unidad de 5″ x 5 Yd.</w:t>
      </w:r>
    </w:p>
    <w:p w14:paraId="3C1F04CB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Venda de algodón laminado: 1 unidad de 3” x 5 Yd.</w:t>
      </w:r>
    </w:p>
    <w:p w14:paraId="3599B15A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Venda de algodón laminado: 1 unidad de 5” x 5 Yd.</w:t>
      </w:r>
    </w:p>
    <w:p w14:paraId="20B13DB1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Yodopovidona: 1 frasco x 120 ml.</w:t>
      </w:r>
    </w:p>
    <w:p w14:paraId="5254D538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Solución Salina: 2 bolsas x 250 ml.</w:t>
      </w:r>
    </w:p>
    <w:p w14:paraId="5E5E6232" w14:textId="77777777" w:rsidR="00D6606E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Termómetro mercurio en vidrio: 1 unidad.</w:t>
      </w:r>
    </w:p>
    <w:p w14:paraId="5F483D3B" w14:textId="48FE49B4" w:rsidR="00D33C6A" w:rsidRPr="008134AC" w:rsidRDefault="00D33C6A" w:rsidP="00D6606E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  <w:r w:rsidRPr="008134AC">
        <w:rPr>
          <w:rFonts w:ascii="Arial" w:eastAsia="Arial" w:hAnsi="Arial" w:cs="Arial"/>
          <w:color w:val="000000"/>
        </w:rPr>
        <w:t>Alcohol Antiséptico: 1 frasco x 345 ml.</w:t>
      </w:r>
    </w:p>
    <w:p w14:paraId="71E6D648" w14:textId="77777777" w:rsidR="00D33C6A" w:rsidRDefault="00D33C6A" w:rsidP="00D33C6A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</w:rPr>
      </w:pPr>
    </w:p>
    <w:p w14:paraId="36EC1104" w14:textId="0F735394" w:rsidR="00D33C6A" w:rsidRPr="00D33C6A" w:rsidRDefault="002B3194" w:rsidP="00D33C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Los extintores también están en óptimas condiciones, en lugares visibles y de fácil accesibilidad</w:t>
      </w:r>
      <w:r w:rsidR="00D33C6A">
        <w:rPr>
          <w:rFonts w:ascii="Arial" w:eastAsia="Arial" w:hAnsi="Arial" w:cs="Arial"/>
          <w:color w:val="000000"/>
        </w:rPr>
        <w:t xml:space="preserve">, sin </w:t>
      </w:r>
      <w:r w:rsidR="00D6606E">
        <w:rPr>
          <w:rFonts w:ascii="Arial" w:eastAsia="Arial" w:hAnsi="Arial" w:cs="Arial"/>
          <w:color w:val="000000"/>
        </w:rPr>
        <w:t>embargo,</w:t>
      </w:r>
      <w:r w:rsidR="00D33C6A">
        <w:rPr>
          <w:rFonts w:ascii="Arial" w:eastAsia="Arial" w:hAnsi="Arial" w:cs="Arial"/>
          <w:color w:val="000000"/>
        </w:rPr>
        <w:t xml:space="preserve"> se recomienda recargarlos, dado que no se ha realizado esta gestión por m</w:t>
      </w:r>
      <w:r w:rsidR="00D6606E">
        <w:rPr>
          <w:rFonts w:ascii="Arial" w:eastAsia="Arial" w:hAnsi="Arial" w:cs="Arial"/>
          <w:color w:val="000000"/>
        </w:rPr>
        <w:t>á</w:t>
      </w:r>
      <w:r w:rsidR="00D33C6A">
        <w:rPr>
          <w:rFonts w:ascii="Arial" w:eastAsia="Arial" w:hAnsi="Arial" w:cs="Arial"/>
          <w:color w:val="000000"/>
        </w:rPr>
        <w:t xml:space="preserve">s de 10 meses. </w:t>
      </w:r>
    </w:p>
    <w:p w14:paraId="322DAE4C" w14:textId="77777777" w:rsidR="006D7A0A" w:rsidRDefault="002B31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Todos los contratistas deben hacer uso de las bases y teclados para computadores, y de las bases para apoyar los pies, ya que estas, evitan incidentes y futuras lesiones por no conservar una buena postura.</w:t>
      </w:r>
    </w:p>
    <w:p w14:paraId="1D8468E3" w14:textId="422C978A" w:rsidR="006D7A0A" w:rsidRDefault="002B31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anexa guía, para la postura adecuada en el lugar de trabajo.</w:t>
      </w:r>
    </w:p>
    <w:p w14:paraId="43BE58A2" w14:textId="66415F86" w:rsidR="00D33C6A" w:rsidRDefault="00D33C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 necesario que en el 2 piso de las instalaciones se realice la debida instalación de cintas reflectiva</w:t>
      </w:r>
      <w:r w:rsidR="008134AC"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</w:rPr>
        <w:t>para pisos</w:t>
      </w:r>
      <w:r w:rsidR="008134AC">
        <w:rPr>
          <w:rFonts w:ascii="Arial" w:eastAsia="Arial" w:hAnsi="Arial" w:cs="Arial"/>
          <w:color w:val="000000"/>
        </w:rPr>
        <w:t xml:space="preserve">; lo anterior es para resaltar el acceso a la oficina contable. </w:t>
      </w:r>
    </w:p>
    <w:p w14:paraId="7BB886AE" w14:textId="77777777" w:rsidR="006D7A0A" w:rsidRDefault="006D7A0A">
      <w:pPr>
        <w:jc w:val="both"/>
        <w:rPr>
          <w:rFonts w:ascii="Arial" w:eastAsia="Arial" w:hAnsi="Arial" w:cs="Arial"/>
        </w:rPr>
      </w:pPr>
    </w:p>
    <w:p w14:paraId="7113C695" w14:textId="77777777" w:rsidR="006D7A0A" w:rsidRDefault="006D7A0A">
      <w:pPr>
        <w:jc w:val="both"/>
        <w:rPr>
          <w:rFonts w:ascii="Arial" w:eastAsia="Arial" w:hAnsi="Arial" w:cs="Arial"/>
        </w:rPr>
      </w:pPr>
    </w:p>
    <w:p w14:paraId="1EB62842" w14:textId="77777777" w:rsidR="006D7A0A" w:rsidRDefault="006D7A0A">
      <w:pPr>
        <w:jc w:val="both"/>
        <w:rPr>
          <w:rFonts w:ascii="Arial" w:eastAsia="Arial" w:hAnsi="Arial" w:cs="Arial"/>
        </w:rPr>
      </w:pPr>
    </w:p>
    <w:p w14:paraId="4D3335A1" w14:textId="77777777" w:rsidR="006D7A0A" w:rsidRDefault="002B319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Postura adecuada en el trabajo de oficina</w:t>
      </w:r>
    </w:p>
    <w:p w14:paraId="409D5088" w14:textId="77777777" w:rsidR="006D7A0A" w:rsidRDefault="002B31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Una buena postura de trabajo requiere: </w:t>
      </w:r>
    </w:p>
    <w:p w14:paraId="6E275296" w14:textId="77777777" w:rsidR="006D7A0A" w:rsidRDefault="002B3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Cabeza levantada y mentón paralelo al suelo. </w:t>
      </w:r>
    </w:p>
    <w:p w14:paraId="759834E2" w14:textId="77777777" w:rsidR="006D7A0A" w:rsidRDefault="002B3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Columna erguida apoyada en el respaldo </w:t>
      </w:r>
    </w:p>
    <w:p w14:paraId="6B31AD9F" w14:textId="77777777" w:rsidR="006D7A0A" w:rsidRDefault="002B3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Pies apoyados en el suelo con tobillos en ángulo recto. </w:t>
      </w:r>
    </w:p>
    <w:p w14:paraId="6BDE9FC6" w14:textId="77777777" w:rsidR="006D7A0A" w:rsidRDefault="002B3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Rodillas en ángulo recto más elevadas que la pelvis. </w:t>
      </w:r>
    </w:p>
    <w:p w14:paraId="56A4683D" w14:textId="77777777" w:rsidR="006D7A0A" w:rsidRDefault="002B3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Brazos apoyados en el asiento o en la mesa.</w:t>
      </w:r>
    </w:p>
    <w:p w14:paraId="7C3FC8FE" w14:textId="77777777" w:rsidR="006D7A0A" w:rsidRDefault="002B31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AC2015F" wp14:editId="0FBB6D49">
            <wp:extent cx="3773805" cy="3230880"/>
            <wp:effectExtent l="3175" t="3175" r="3175" b="3175"/>
            <wp:docPr id="1902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323088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60EBA80" w14:textId="77777777" w:rsidR="006D7A0A" w:rsidRDefault="002B31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5C3FD8" wp14:editId="020A0F66">
            <wp:simplePos x="0" y="0"/>
            <wp:positionH relativeFrom="column">
              <wp:posOffset>3333750</wp:posOffset>
            </wp:positionH>
            <wp:positionV relativeFrom="paragraph">
              <wp:posOffset>234950</wp:posOffset>
            </wp:positionV>
            <wp:extent cx="2962275" cy="2324100"/>
            <wp:effectExtent l="3175" t="3175" r="3175" b="3175"/>
            <wp:wrapSquare wrapText="bothSides" distT="0" distB="0" distL="114300" distR="114300"/>
            <wp:docPr id="19027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2410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E158EA6" w14:textId="77777777" w:rsidR="006D7A0A" w:rsidRDefault="002B3194">
      <w:pPr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*Imágenes tomadas de internet.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6FD6BEF" wp14:editId="53228C4A">
            <wp:simplePos x="0" y="0"/>
            <wp:positionH relativeFrom="column">
              <wp:posOffset>1</wp:posOffset>
            </wp:positionH>
            <wp:positionV relativeFrom="paragraph">
              <wp:posOffset>107950</wp:posOffset>
            </wp:positionV>
            <wp:extent cx="3181350" cy="2305050"/>
            <wp:effectExtent l="3175" t="3175" r="3175" b="3175"/>
            <wp:wrapSquare wrapText="bothSides" distT="0" distB="0" distL="114300" distR="114300"/>
            <wp:docPr id="19028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0505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6D7A0A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927"/>
    <w:multiLevelType w:val="multilevel"/>
    <w:tmpl w:val="F3BAC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054"/>
    <w:multiLevelType w:val="multilevel"/>
    <w:tmpl w:val="B69C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66D9"/>
    <w:multiLevelType w:val="multilevel"/>
    <w:tmpl w:val="DB469F9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CC73F4"/>
    <w:multiLevelType w:val="multilevel"/>
    <w:tmpl w:val="401E2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B93681"/>
    <w:multiLevelType w:val="multilevel"/>
    <w:tmpl w:val="6DBA1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0A"/>
    <w:rsid w:val="000F77AC"/>
    <w:rsid w:val="002B3194"/>
    <w:rsid w:val="006D7A0A"/>
    <w:rsid w:val="008134AC"/>
    <w:rsid w:val="00D33C6A"/>
    <w:rsid w:val="00D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7E17D2"/>
  <w15:docId w15:val="{F6680810-6033-45C1-9B64-6E234EC5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64C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039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392"/>
  </w:style>
  <w:style w:type="paragraph" w:styleId="Piedepgina">
    <w:name w:val="footer"/>
    <w:basedOn w:val="Normal"/>
    <w:link w:val="PiedepginaCar"/>
    <w:uiPriority w:val="99"/>
    <w:unhideWhenUsed/>
    <w:rsid w:val="00D7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39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3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33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EqYJSh/Cl0kO2rU4xwCLGig+w==">AMUW2mUCTbwCWyc3uYDHddxlj1wFbl7u3MwLp7WiGIjbxsd6iBCMVQVnRPY/XYzHTFImb45BoDTi5hC7g/pVxUgL1iKrO273JeQjT8/OLhU0D/Dj0GWLR+7TdCu+NrLuMIaTYxfofIu8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Máximo Cortes</cp:lastModifiedBy>
  <cp:revision>3</cp:revision>
  <cp:lastPrinted>2022-02-25T16:41:00Z</cp:lastPrinted>
  <dcterms:created xsi:type="dcterms:W3CDTF">2020-11-28T14:37:00Z</dcterms:created>
  <dcterms:modified xsi:type="dcterms:W3CDTF">2022-02-25T18:49:00Z</dcterms:modified>
</cp:coreProperties>
</file>