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473489FB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E640B6">
        <w:rPr>
          <w:u w:val="single"/>
        </w:rPr>
        <w:t>9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E640B6">
        <w:rPr>
          <w:u w:val="single"/>
        </w:rPr>
        <w:t>Enero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</w:t>
      </w:r>
      <w:r w:rsidR="00E640B6">
        <w:rPr>
          <w:u w:val="single"/>
        </w:rPr>
        <w:t>6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E640B6">
        <w:rPr>
          <w:u w:val="single"/>
        </w:rPr>
        <w:t>14</w:t>
      </w:r>
      <w:r>
        <w:rPr>
          <w:u w:val="single"/>
        </w:rPr>
        <w:t xml:space="preserve">  del</w:t>
      </w:r>
      <w:r>
        <w:rPr>
          <w:spacing w:val="78"/>
        </w:rPr>
        <w:t xml:space="preserve"> </w:t>
      </w:r>
      <w:r>
        <w:t xml:space="preserve">mes de </w:t>
      </w:r>
      <w:r w:rsidR="00E16DA0">
        <w:rPr>
          <w:u w:val="single"/>
        </w:rPr>
        <w:t>Enero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</w:t>
      </w:r>
      <w:r w:rsidR="00E16DA0">
        <w:rPr>
          <w:u w:val="single"/>
        </w:rPr>
        <w:t>6</w:t>
      </w:r>
      <w:r>
        <w:rPr>
          <w:u w:val="single"/>
        </w:rPr>
        <w:t>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51410CCA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E16DA0">
        <w:rPr>
          <w:u w:val="single"/>
        </w:rPr>
        <w:t>9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5218E2">
        <w:rPr>
          <w:u w:val="single"/>
        </w:rPr>
        <w:t>Enero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5218E2">
        <w:rPr>
          <w:spacing w:val="-4"/>
        </w:rPr>
        <w:t>6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1701" w14:textId="77777777" w:rsidR="00455F29" w:rsidRDefault="00455F29">
      <w:r>
        <w:separator/>
      </w:r>
    </w:p>
  </w:endnote>
  <w:endnote w:type="continuationSeparator" w:id="0">
    <w:p w14:paraId="30AC6C2C" w14:textId="77777777" w:rsidR="00455F29" w:rsidRDefault="004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6FDF" w14:textId="77777777" w:rsidR="00455F29" w:rsidRDefault="00455F29">
      <w:r>
        <w:separator/>
      </w:r>
    </w:p>
  </w:footnote>
  <w:footnote w:type="continuationSeparator" w:id="0">
    <w:p w14:paraId="2B32942D" w14:textId="77777777" w:rsidR="00455F29" w:rsidRDefault="0045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C07ED"/>
    <w:rsid w:val="001D4041"/>
    <w:rsid w:val="00265785"/>
    <w:rsid w:val="002B303F"/>
    <w:rsid w:val="00316AC9"/>
    <w:rsid w:val="003C3FBD"/>
    <w:rsid w:val="004535EA"/>
    <w:rsid w:val="00455F29"/>
    <w:rsid w:val="00486121"/>
    <w:rsid w:val="005218E2"/>
    <w:rsid w:val="00540723"/>
    <w:rsid w:val="00610129"/>
    <w:rsid w:val="007A39AE"/>
    <w:rsid w:val="00AE579E"/>
    <w:rsid w:val="00B21CCC"/>
    <w:rsid w:val="00DE47AA"/>
    <w:rsid w:val="00E16DA0"/>
    <w:rsid w:val="00E640B6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2806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7</cp:revision>
  <cp:lastPrinted>2025-07-19T18:07:00Z</cp:lastPrinted>
  <dcterms:created xsi:type="dcterms:W3CDTF">2025-07-13T22:08:00Z</dcterms:created>
  <dcterms:modified xsi:type="dcterms:W3CDTF">2026-01-09T16:29:00Z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